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732E" w14:textId="3E33D9FD" w:rsidR="008A0258" w:rsidRPr="004F7058" w:rsidRDefault="008A0258" w:rsidP="004F7058">
      <w:pPr>
        <w:rPr>
          <w:b/>
          <w:bCs/>
          <w:sz w:val="23"/>
          <w:szCs w:val="23"/>
        </w:rPr>
      </w:pPr>
      <w:r w:rsidRPr="004F7058">
        <w:rPr>
          <w:rFonts w:cstheme="minorHAnsi"/>
          <w:b/>
          <w:bCs/>
          <w:sz w:val="23"/>
          <w:szCs w:val="23"/>
        </w:rPr>
        <w:t>BRIEFING NOTE: NATURAL RESOURCES CANADA DISCUSSION PAPER ON “</w:t>
      </w:r>
      <w:r w:rsidR="00055BD2">
        <w:rPr>
          <w:rFonts w:cstheme="minorHAnsi"/>
          <w:b/>
          <w:bCs/>
          <w:sz w:val="23"/>
          <w:szCs w:val="23"/>
        </w:rPr>
        <w:t>DECOMMISSIONING</w:t>
      </w:r>
      <w:r w:rsidRPr="004F7058">
        <w:rPr>
          <w:rFonts w:cstheme="minorHAnsi"/>
          <w:b/>
          <w:bCs/>
          <w:sz w:val="23"/>
          <w:szCs w:val="23"/>
        </w:rPr>
        <w:t>”</w:t>
      </w:r>
    </w:p>
    <w:p w14:paraId="1A5C3444" w14:textId="0BAF9B5A" w:rsidR="008A0258" w:rsidRPr="0095285F" w:rsidRDefault="008A0258" w:rsidP="0095285F">
      <w:pPr>
        <w:spacing w:after="120" w:line="240" w:lineRule="auto"/>
        <w:rPr>
          <w:rFonts w:ascii="Times New Roman" w:hAnsi="Times New Roman" w:cs="Times New Roman"/>
        </w:rPr>
      </w:pPr>
      <w:r w:rsidRPr="0095285F">
        <w:rPr>
          <w:rFonts w:ascii="Times New Roman" w:hAnsi="Times New Roman" w:cs="Times New Roman"/>
        </w:rPr>
        <w:t xml:space="preserve">As part of the review of radioactive waste policy announced by Natural Resources Canada (NRCan) in November 2020, NRCan has produced four discussion papers and created online forums for comment. </w:t>
      </w:r>
    </w:p>
    <w:p w14:paraId="6DF05DDB" w14:textId="5873B5D4" w:rsidR="00872B2C" w:rsidRPr="0095285F" w:rsidRDefault="008A0258" w:rsidP="0095285F">
      <w:pPr>
        <w:spacing w:after="120" w:line="240" w:lineRule="auto"/>
        <w:rPr>
          <w:rFonts w:ascii="Times New Roman" w:hAnsi="Times New Roman" w:cs="Times New Roman"/>
        </w:rPr>
      </w:pPr>
      <w:r w:rsidRPr="0095285F">
        <w:rPr>
          <w:rFonts w:ascii="Times New Roman" w:hAnsi="Times New Roman" w:cs="Times New Roman"/>
        </w:rPr>
        <w:t>The</w:t>
      </w:r>
      <w:r w:rsidR="00073A77">
        <w:rPr>
          <w:rFonts w:ascii="Times New Roman" w:hAnsi="Times New Roman" w:cs="Times New Roman"/>
        </w:rPr>
        <w:t xml:space="preserve"> NRCan</w:t>
      </w:r>
      <w:r w:rsidRPr="0095285F">
        <w:rPr>
          <w:rFonts w:ascii="Times New Roman" w:hAnsi="Times New Roman" w:cs="Times New Roman"/>
        </w:rPr>
        <w:t xml:space="preserve"> discussion paper on </w:t>
      </w:r>
      <w:r w:rsidR="004F7058">
        <w:rPr>
          <w:rFonts w:ascii="Times New Roman" w:hAnsi="Times New Roman" w:cs="Times New Roman"/>
        </w:rPr>
        <w:t>‘</w:t>
      </w:r>
      <w:r w:rsidR="00055BD2">
        <w:rPr>
          <w:rFonts w:ascii="Times New Roman" w:hAnsi="Times New Roman" w:cs="Times New Roman"/>
        </w:rPr>
        <w:t>decommissioning</w:t>
      </w:r>
      <w:r w:rsidR="004F7058">
        <w:rPr>
          <w:rFonts w:ascii="Times New Roman" w:hAnsi="Times New Roman" w:cs="Times New Roman"/>
        </w:rPr>
        <w:t xml:space="preserve">” </w:t>
      </w:r>
      <w:r w:rsidRPr="0095285F">
        <w:rPr>
          <w:rFonts w:ascii="Times New Roman" w:hAnsi="Times New Roman" w:cs="Times New Roman"/>
        </w:rPr>
        <w:t xml:space="preserve">combines background information, description of current management practices (strategies) and presents current policy points. See more at </w:t>
      </w:r>
      <w:hyperlink r:id="rId7" w:history="1">
        <w:r w:rsidRPr="0095285F">
          <w:rPr>
            <w:rStyle w:val="Hyperlink"/>
            <w:rFonts w:ascii="Times New Roman" w:hAnsi="Times New Roman" w:cs="Times New Roman"/>
          </w:rPr>
          <w:t>www.nuclearwastewatch.ca</w:t>
        </w:r>
      </w:hyperlink>
      <w:r w:rsidRPr="0095285F">
        <w:rPr>
          <w:rFonts w:ascii="Times New Roman" w:hAnsi="Times New Roman" w:cs="Times New Roman"/>
        </w:rPr>
        <w:t xml:space="preserve"> about the review and other topics.  </w:t>
      </w:r>
    </w:p>
    <w:p w14:paraId="3547C7BE" w14:textId="2A8CBAEB" w:rsidR="008A0258" w:rsidRPr="0095285F" w:rsidRDefault="0095285F" w:rsidP="0095285F">
      <w:pPr>
        <w:spacing w:after="120" w:line="240" w:lineRule="auto"/>
        <w:rPr>
          <w:rFonts w:ascii="Times New Roman" w:hAnsi="Times New Roman" w:cs="Times New Roman"/>
          <w:u w:val="single"/>
        </w:rPr>
      </w:pPr>
      <w:r w:rsidRPr="0095285F">
        <w:rPr>
          <w:rFonts w:ascii="Times New Roman" w:hAnsi="Times New Roman" w:cs="Times New Roman"/>
          <w:u w:val="single"/>
        </w:rPr>
        <w:t>General Comments on the Discussion Papers</w:t>
      </w:r>
    </w:p>
    <w:p w14:paraId="49CA7D89" w14:textId="0CE7C592" w:rsidR="0095285F" w:rsidRDefault="0095285F" w:rsidP="0095285F">
      <w:pPr>
        <w:pStyle w:val="ListParagraph"/>
        <w:numPr>
          <w:ilvl w:val="0"/>
          <w:numId w:val="1"/>
        </w:numPr>
        <w:spacing w:after="120" w:line="240" w:lineRule="auto"/>
        <w:rPr>
          <w:rFonts w:ascii="Times New Roman" w:hAnsi="Times New Roman" w:cs="Times New Roman"/>
        </w:rPr>
      </w:pPr>
      <w:r w:rsidRPr="0095285F">
        <w:rPr>
          <w:rFonts w:ascii="Times New Roman" w:hAnsi="Times New Roman" w:cs="Times New Roman"/>
        </w:rPr>
        <w:t xml:space="preserve">the </w:t>
      </w:r>
      <w:r>
        <w:rPr>
          <w:rFonts w:ascii="Times New Roman" w:hAnsi="Times New Roman" w:cs="Times New Roman"/>
        </w:rPr>
        <w:t xml:space="preserve">linkages between the </w:t>
      </w:r>
      <w:r w:rsidRPr="0095285F">
        <w:rPr>
          <w:rFonts w:ascii="Times New Roman" w:hAnsi="Times New Roman" w:cs="Times New Roman"/>
        </w:rPr>
        <w:t>discussion paper</w:t>
      </w:r>
      <w:r>
        <w:rPr>
          <w:rFonts w:ascii="Times New Roman" w:hAnsi="Times New Roman" w:cs="Times New Roman"/>
        </w:rPr>
        <w:t>s are not acknowledged or identified</w:t>
      </w:r>
    </w:p>
    <w:p w14:paraId="329317A8" w14:textId="1B7FBA9E" w:rsidR="00CD204C" w:rsidRDefault="00CD204C" w:rsidP="0095285F">
      <w:pPr>
        <w:pStyle w:val="ListParagraph"/>
        <w:numPr>
          <w:ilvl w:val="0"/>
          <w:numId w:val="1"/>
        </w:numPr>
        <w:spacing w:after="120" w:line="240" w:lineRule="auto"/>
        <w:rPr>
          <w:rFonts w:ascii="Times New Roman" w:hAnsi="Times New Roman" w:cs="Times New Roman"/>
        </w:rPr>
      </w:pPr>
      <w:r>
        <w:rPr>
          <w:rFonts w:ascii="Times New Roman" w:hAnsi="Times New Roman" w:cs="Times New Roman"/>
        </w:rPr>
        <w:t xml:space="preserve">the discussion papers are not placed in </w:t>
      </w:r>
      <w:r w:rsidRPr="00CD204C">
        <w:rPr>
          <w:rFonts w:ascii="Times New Roman" w:hAnsi="Times New Roman" w:cs="Times New Roman"/>
        </w:rPr>
        <w:t xml:space="preserve">an overall context of radioactive waste management principles and </w:t>
      </w:r>
      <w:r>
        <w:rPr>
          <w:rFonts w:ascii="Times New Roman" w:hAnsi="Times New Roman" w:cs="Times New Roman"/>
        </w:rPr>
        <w:t xml:space="preserve">policy </w:t>
      </w:r>
      <w:r w:rsidRPr="00CD204C">
        <w:rPr>
          <w:rFonts w:ascii="Times New Roman" w:hAnsi="Times New Roman" w:cs="Times New Roman"/>
        </w:rPr>
        <w:t>objectives</w:t>
      </w:r>
    </w:p>
    <w:p w14:paraId="73EB8682" w14:textId="0ACEA12C" w:rsidR="0095285F" w:rsidRPr="0095285F" w:rsidRDefault="0095285F" w:rsidP="0095285F">
      <w:pPr>
        <w:pStyle w:val="ListParagraph"/>
        <w:numPr>
          <w:ilvl w:val="0"/>
          <w:numId w:val="1"/>
        </w:numPr>
        <w:spacing w:after="120" w:line="240" w:lineRule="auto"/>
        <w:rPr>
          <w:rFonts w:ascii="Times New Roman" w:hAnsi="Times New Roman" w:cs="Times New Roman"/>
        </w:rPr>
      </w:pPr>
      <w:r w:rsidRPr="0095285F">
        <w:rPr>
          <w:rFonts w:ascii="Times New Roman" w:hAnsi="Times New Roman" w:cs="Times New Roman"/>
        </w:rPr>
        <w:t>the discussion paper descriptions present a non-critical approach to current practices</w:t>
      </w:r>
    </w:p>
    <w:p w14:paraId="4A636BD5" w14:textId="5FC13801" w:rsidR="0095285F" w:rsidRDefault="0095285F" w:rsidP="0095285F">
      <w:pPr>
        <w:pStyle w:val="ListParagraph"/>
        <w:numPr>
          <w:ilvl w:val="0"/>
          <w:numId w:val="1"/>
        </w:numPr>
        <w:spacing w:after="120" w:line="240" w:lineRule="auto"/>
        <w:rPr>
          <w:rFonts w:ascii="Times New Roman" w:hAnsi="Times New Roman" w:cs="Times New Roman"/>
        </w:rPr>
      </w:pPr>
      <w:r w:rsidRPr="0095285F">
        <w:rPr>
          <w:rFonts w:ascii="Times New Roman" w:hAnsi="Times New Roman" w:cs="Times New Roman"/>
        </w:rPr>
        <w:t>the discussion papers lack references or links to support the statements and content</w:t>
      </w:r>
    </w:p>
    <w:p w14:paraId="128E6EFC" w14:textId="6DA89238" w:rsidR="00FD7887" w:rsidRPr="003D5499" w:rsidRDefault="00FD7887" w:rsidP="00FD7887">
      <w:pPr>
        <w:spacing w:after="120" w:line="240" w:lineRule="auto"/>
        <w:rPr>
          <w:rFonts w:ascii="Times New Roman" w:hAnsi="Times New Roman" w:cs="Times New Roman"/>
          <w:u w:val="single"/>
        </w:rPr>
      </w:pPr>
      <w:r w:rsidRPr="003D5499">
        <w:rPr>
          <w:rFonts w:ascii="Times New Roman" w:hAnsi="Times New Roman" w:cs="Times New Roman"/>
          <w:u w:val="single"/>
        </w:rPr>
        <w:t xml:space="preserve">Summary of </w:t>
      </w:r>
      <w:proofErr w:type="spellStart"/>
      <w:r w:rsidRPr="003D5499">
        <w:rPr>
          <w:rFonts w:ascii="Times New Roman" w:hAnsi="Times New Roman" w:cs="Times New Roman"/>
          <w:u w:val="single"/>
        </w:rPr>
        <w:t>NRCan’s</w:t>
      </w:r>
      <w:proofErr w:type="spellEnd"/>
      <w:r w:rsidRPr="003D5499">
        <w:rPr>
          <w:rFonts w:ascii="Times New Roman" w:hAnsi="Times New Roman" w:cs="Times New Roman"/>
          <w:u w:val="single"/>
        </w:rPr>
        <w:t xml:space="preserve"> </w:t>
      </w:r>
      <w:r w:rsidR="00567FC1">
        <w:rPr>
          <w:rFonts w:ascii="Times New Roman" w:hAnsi="Times New Roman" w:cs="Times New Roman"/>
          <w:u w:val="single"/>
        </w:rPr>
        <w:t>“</w:t>
      </w:r>
      <w:r w:rsidR="00055BD2">
        <w:rPr>
          <w:rFonts w:ascii="Times New Roman" w:hAnsi="Times New Roman" w:cs="Times New Roman"/>
          <w:u w:val="single"/>
        </w:rPr>
        <w:t>Decommissioning</w:t>
      </w:r>
      <w:r w:rsidR="00567FC1">
        <w:rPr>
          <w:rFonts w:ascii="Times New Roman" w:hAnsi="Times New Roman" w:cs="Times New Roman"/>
          <w:u w:val="single"/>
        </w:rPr>
        <w:t xml:space="preserve">” </w:t>
      </w:r>
      <w:r w:rsidRPr="003D5499">
        <w:rPr>
          <w:rFonts w:ascii="Times New Roman" w:hAnsi="Times New Roman" w:cs="Times New Roman"/>
          <w:u w:val="single"/>
        </w:rPr>
        <w:t>Discussion Paper</w:t>
      </w:r>
    </w:p>
    <w:p w14:paraId="3ED71093" w14:textId="74EF46C0" w:rsidR="00567FC1" w:rsidRDefault="00007A73" w:rsidP="00055BD2">
      <w:pPr>
        <w:spacing w:after="120" w:line="240" w:lineRule="auto"/>
        <w:rPr>
          <w:rFonts w:ascii="Times New Roman" w:hAnsi="Times New Roman" w:cs="Times New Roman"/>
        </w:rPr>
      </w:pPr>
      <w:r w:rsidRPr="00007A73">
        <w:rPr>
          <w:rFonts w:ascii="Times New Roman" w:hAnsi="Times New Roman" w:cs="Times New Roman"/>
        </w:rPr>
        <w:t xml:space="preserve">The paper </w:t>
      </w:r>
      <w:r w:rsidR="001C4198">
        <w:rPr>
          <w:rFonts w:ascii="Times New Roman" w:hAnsi="Times New Roman" w:cs="Times New Roman"/>
        </w:rPr>
        <w:t xml:space="preserve">provides an extremely vague and at times misleading overview of decommissioning. As with the other discussion, it lacks references or hyperlinks to the source or reference to support statements being made, but </w:t>
      </w:r>
      <w:r w:rsidR="00B04742">
        <w:rPr>
          <w:rFonts w:ascii="Times New Roman" w:hAnsi="Times New Roman" w:cs="Times New Roman"/>
        </w:rPr>
        <w:t xml:space="preserve">this is perhaps even more problematic with this discussion paper, given the degree to which is creates false impressions. For example, it repeatedly refers to there being three decommissioning options: immediate decommissioning, deferred </w:t>
      </w:r>
      <w:proofErr w:type="gramStart"/>
      <w:r w:rsidR="00B04742">
        <w:rPr>
          <w:rFonts w:ascii="Times New Roman" w:hAnsi="Times New Roman" w:cs="Times New Roman"/>
        </w:rPr>
        <w:t>decommissioning</w:t>
      </w:r>
      <w:proofErr w:type="gramEnd"/>
      <w:r w:rsidR="00B04742">
        <w:rPr>
          <w:rFonts w:ascii="Times New Roman" w:hAnsi="Times New Roman" w:cs="Times New Roman"/>
        </w:rPr>
        <w:t xml:space="preserve"> and in-situ decommissioning</w:t>
      </w:r>
      <w:r w:rsidR="002F6C33">
        <w:rPr>
          <w:rFonts w:ascii="Times New Roman" w:hAnsi="Times New Roman" w:cs="Times New Roman"/>
        </w:rPr>
        <w:t>, implying that this is the internationally recognized approach. In fact, the Internationally Atomic Energy Agency’s General Safety Requirements clearly set out that by IAEA standards there are two options:</w:t>
      </w:r>
    </w:p>
    <w:p w14:paraId="1A7A3634" w14:textId="4601CD78" w:rsidR="002F6C33" w:rsidRDefault="002F6C33" w:rsidP="002F6C33">
      <w:pPr>
        <w:pStyle w:val="ListParagraph"/>
        <w:numPr>
          <w:ilvl w:val="0"/>
          <w:numId w:val="10"/>
        </w:numPr>
        <w:spacing w:after="120" w:line="240" w:lineRule="auto"/>
        <w:rPr>
          <w:rFonts w:ascii="Times New Roman" w:hAnsi="Times New Roman" w:cs="Times New Roman"/>
        </w:rPr>
      </w:pPr>
      <w:r>
        <w:rPr>
          <w:rFonts w:ascii="Times New Roman" w:hAnsi="Times New Roman" w:cs="Times New Roman"/>
        </w:rPr>
        <w:t>Immediate dismantling, which the IAEA identifies as the preferred option, but only in instances where there is a permanent waste facility available (so not applicable in Canada), and</w:t>
      </w:r>
    </w:p>
    <w:p w14:paraId="4E343C00" w14:textId="58789D3F" w:rsidR="002F6C33" w:rsidRDefault="002F6C33" w:rsidP="002F6C33">
      <w:pPr>
        <w:pStyle w:val="ListParagraph"/>
        <w:numPr>
          <w:ilvl w:val="0"/>
          <w:numId w:val="10"/>
        </w:numPr>
        <w:spacing w:after="120" w:line="240" w:lineRule="auto"/>
        <w:rPr>
          <w:rFonts w:ascii="Times New Roman" w:hAnsi="Times New Roman" w:cs="Times New Roman"/>
        </w:rPr>
      </w:pPr>
      <w:r>
        <w:rPr>
          <w:rFonts w:ascii="Times New Roman" w:hAnsi="Times New Roman" w:cs="Times New Roman"/>
        </w:rPr>
        <w:t xml:space="preserve">Deferred dismantling, which is the default option when there is no permanent waste facility available (such as in Canada). </w:t>
      </w:r>
    </w:p>
    <w:p w14:paraId="26354F88" w14:textId="68B608AA" w:rsidR="002F6C33" w:rsidRDefault="002F6C33" w:rsidP="002F6C33">
      <w:pPr>
        <w:spacing w:after="120" w:line="240" w:lineRule="auto"/>
        <w:rPr>
          <w:rFonts w:ascii="Times New Roman" w:hAnsi="Times New Roman" w:cs="Times New Roman"/>
        </w:rPr>
      </w:pPr>
      <w:r>
        <w:rPr>
          <w:rFonts w:ascii="Times New Roman" w:hAnsi="Times New Roman" w:cs="Times New Roman"/>
        </w:rPr>
        <w:t>The NRCan discussion paper inserts a third option, “</w:t>
      </w:r>
      <w:r w:rsidRPr="002F6C33">
        <w:rPr>
          <w:rFonts w:ascii="Times New Roman" w:hAnsi="Times New Roman" w:cs="Times New Roman"/>
        </w:rPr>
        <w:t>In-situ decommissioning</w:t>
      </w:r>
      <w:r w:rsidR="004A0C89">
        <w:rPr>
          <w:rFonts w:ascii="Times New Roman" w:hAnsi="Times New Roman" w:cs="Times New Roman"/>
        </w:rPr>
        <w:t xml:space="preserve"> …</w:t>
      </w:r>
      <w:r w:rsidRPr="002F6C33">
        <w:rPr>
          <w:rFonts w:ascii="Times New Roman" w:hAnsi="Times New Roman" w:cs="Times New Roman"/>
        </w:rPr>
        <w:t xml:space="preserve"> in which some or all of the radioactive contaminants are disposed of in place, which may result in the creation of a waste disposal site</w:t>
      </w:r>
      <w:r w:rsidR="004A0C89">
        <w:rPr>
          <w:rFonts w:ascii="Times New Roman" w:hAnsi="Times New Roman" w:cs="Times New Roman"/>
        </w:rPr>
        <w:t xml:space="preserve">”. </w:t>
      </w:r>
    </w:p>
    <w:p w14:paraId="2A7743B1" w14:textId="42D19B96" w:rsidR="004A0C89" w:rsidRDefault="004A0C89" w:rsidP="002F6C33">
      <w:pPr>
        <w:spacing w:after="120" w:line="240" w:lineRule="auto"/>
        <w:rPr>
          <w:rFonts w:ascii="Times New Roman" w:hAnsi="Times New Roman" w:cs="Times New Roman"/>
        </w:rPr>
      </w:pPr>
      <w:r>
        <w:rPr>
          <w:rFonts w:ascii="Times New Roman" w:hAnsi="Times New Roman" w:cs="Times New Roman"/>
        </w:rPr>
        <w:t>Referred to internationally as “entombment”, the IAEA Safety Standard, to which Canada has committed, states:</w:t>
      </w:r>
    </w:p>
    <w:p w14:paraId="497742A2" w14:textId="7235F147" w:rsidR="002F6C33" w:rsidRPr="004A0C89" w:rsidRDefault="002F6C33" w:rsidP="004A0C89">
      <w:pPr>
        <w:spacing w:after="120" w:line="240" w:lineRule="auto"/>
        <w:ind w:left="284" w:right="284"/>
        <w:rPr>
          <w:rFonts w:ascii="Times New Roman" w:hAnsi="Times New Roman" w:cs="Times New Roman"/>
          <w:i/>
          <w:iCs/>
        </w:rPr>
      </w:pPr>
      <w:r w:rsidRPr="004A0C89">
        <w:rPr>
          <w:rFonts w:ascii="Times New Roman" w:hAnsi="Times New Roman" w:cs="Times New Roman"/>
          <w:i/>
          <w:iCs/>
        </w:rPr>
        <w:t>Entombment, in which all or part of the facility is</w:t>
      </w:r>
      <w:r w:rsidR="004A0C89" w:rsidRPr="004A0C89">
        <w:rPr>
          <w:rFonts w:ascii="Times New Roman" w:hAnsi="Times New Roman" w:cs="Times New Roman"/>
          <w:i/>
          <w:iCs/>
        </w:rPr>
        <w:t xml:space="preserve"> </w:t>
      </w:r>
      <w:r w:rsidRPr="004A0C89">
        <w:rPr>
          <w:rFonts w:ascii="Times New Roman" w:hAnsi="Times New Roman" w:cs="Times New Roman"/>
          <w:i/>
          <w:iCs/>
        </w:rPr>
        <w:t xml:space="preserve">encased in a structurally </w:t>
      </w:r>
      <w:proofErr w:type="gramStart"/>
      <w:r w:rsidRPr="004A0C89">
        <w:rPr>
          <w:rFonts w:ascii="Times New Roman" w:hAnsi="Times New Roman" w:cs="Times New Roman"/>
          <w:i/>
          <w:iCs/>
        </w:rPr>
        <w:t>long lived</w:t>
      </w:r>
      <w:proofErr w:type="gramEnd"/>
      <w:r w:rsidRPr="004A0C89">
        <w:rPr>
          <w:rFonts w:ascii="Times New Roman" w:hAnsi="Times New Roman" w:cs="Times New Roman"/>
          <w:i/>
          <w:iCs/>
        </w:rPr>
        <w:t xml:space="preserve"> material, is not considered a decommissioning</w:t>
      </w:r>
      <w:r w:rsidR="004A0C89" w:rsidRPr="004A0C89">
        <w:rPr>
          <w:rFonts w:ascii="Times New Roman" w:hAnsi="Times New Roman" w:cs="Times New Roman"/>
          <w:i/>
          <w:iCs/>
        </w:rPr>
        <w:t xml:space="preserve"> </w:t>
      </w:r>
      <w:r w:rsidRPr="004A0C89">
        <w:rPr>
          <w:rFonts w:ascii="Times New Roman" w:hAnsi="Times New Roman" w:cs="Times New Roman"/>
          <w:i/>
          <w:iCs/>
        </w:rPr>
        <w:t>strategy and is not an option in the case of planned permanent shutdown. It may</w:t>
      </w:r>
      <w:r w:rsidR="004A0C89" w:rsidRPr="004A0C89">
        <w:rPr>
          <w:rFonts w:ascii="Times New Roman" w:hAnsi="Times New Roman" w:cs="Times New Roman"/>
          <w:i/>
          <w:iCs/>
        </w:rPr>
        <w:t xml:space="preserve"> </w:t>
      </w:r>
      <w:r w:rsidRPr="004A0C89">
        <w:rPr>
          <w:rFonts w:ascii="Times New Roman" w:hAnsi="Times New Roman" w:cs="Times New Roman"/>
          <w:i/>
          <w:iCs/>
        </w:rPr>
        <w:t>be considered a solution only under exceptional circumstances (</w:t>
      </w:r>
      <w:proofErr w:type="gramStart"/>
      <w:r w:rsidRPr="004A0C89">
        <w:rPr>
          <w:rFonts w:ascii="Times New Roman" w:hAnsi="Times New Roman" w:cs="Times New Roman"/>
          <w:i/>
          <w:iCs/>
        </w:rPr>
        <w:t>e.g.</w:t>
      </w:r>
      <w:proofErr w:type="gramEnd"/>
      <w:r w:rsidRPr="004A0C89">
        <w:rPr>
          <w:rFonts w:ascii="Times New Roman" w:hAnsi="Times New Roman" w:cs="Times New Roman"/>
          <w:i/>
          <w:iCs/>
        </w:rPr>
        <w:t xml:space="preserve"> following a</w:t>
      </w:r>
      <w:r w:rsidR="004A0C89" w:rsidRPr="004A0C89">
        <w:rPr>
          <w:rFonts w:ascii="Times New Roman" w:hAnsi="Times New Roman" w:cs="Times New Roman"/>
          <w:i/>
          <w:iCs/>
        </w:rPr>
        <w:t xml:space="preserve"> </w:t>
      </w:r>
      <w:r w:rsidRPr="004A0C89">
        <w:rPr>
          <w:rFonts w:ascii="Times New Roman" w:hAnsi="Times New Roman" w:cs="Times New Roman"/>
          <w:i/>
          <w:iCs/>
        </w:rPr>
        <w:t>severe accident).</w:t>
      </w:r>
    </w:p>
    <w:p w14:paraId="74DD52A7" w14:textId="2846549A" w:rsidR="004A0C89" w:rsidRPr="004A0C89" w:rsidRDefault="004A0C89" w:rsidP="004A0C89">
      <w:pPr>
        <w:spacing w:after="120" w:line="240" w:lineRule="auto"/>
        <w:rPr>
          <w:rFonts w:ascii="Times New Roman" w:hAnsi="Times New Roman" w:cs="Times New Roman"/>
        </w:rPr>
      </w:pPr>
      <w:r>
        <w:rPr>
          <w:rFonts w:ascii="Times New Roman" w:hAnsi="Times New Roman" w:cs="Times New Roman"/>
        </w:rPr>
        <w:t xml:space="preserve">In a 2019 international peer review, this issue was highlighted, and Canada’s response to the </w:t>
      </w:r>
      <w:hyperlink r:id="rId8" w:anchor="sec6" w:history="1">
        <w:r w:rsidRPr="004A0C89">
          <w:rPr>
            <w:rStyle w:val="Hyperlink"/>
            <w:rFonts w:ascii="Times New Roman" w:hAnsi="Times New Roman" w:cs="Times New Roman"/>
          </w:rPr>
          <w:t>2019 IRRS Report</w:t>
        </w:r>
      </w:hyperlink>
      <w:r>
        <w:rPr>
          <w:rFonts w:ascii="Times New Roman" w:hAnsi="Times New Roman" w:cs="Times New Roman"/>
        </w:rPr>
        <w:t xml:space="preserve"> is at odds with the Discussion Paper’s positioning of in-situ decommissioning as an acceptable strategy:</w:t>
      </w:r>
    </w:p>
    <w:p w14:paraId="7120B8F8" w14:textId="2064A0F8" w:rsidR="004A0C89" w:rsidRPr="004A0C89" w:rsidRDefault="004A0C89" w:rsidP="004A0C89">
      <w:pPr>
        <w:spacing w:after="120" w:line="240" w:lineRule="auto"/>
        <w:ind w:left="284" w:right="284"/>
        <w:rPr>
          <w:rFonts w:ascii="Times New Roman" w:hAnsi="Times New Roman" w:cs="Times New Roman"/>
          <w:i/>
          <w:iCs/>
        </w:rPr>
      </w:pPr>
      <w:r w:rsidRPr="004A0C89">
        <w:rPr>
          <w:rFonts w:ascii="Times New Roman" w:hAnsi="Times New Roman" w:cs="Times New Roman"/>
          <w:i/>
          <w:iCs/>
        </w:rPr>
        <w:t xml:space="preserve">IAEA </w:t>
      </w:r>
      <w:r w:rsidRPr="004A0C89">
        <w:rPr>
          <w:rFonts w:ascii="Times New Roman" w:hAnsi="Times New Roman" w:cs="Times New Roman"/>
          <w:i/>
          <w:iCs/>
        </w:rPr>
        <w:t>IRRS</w:t>
      </w:r>
      <w:r w:rsidRPr="004A0C89">
        <w:rPr>
          <w:rFonts w:ascii="Times New Roman" w:hAnsi="Times New Roman" w:cs="Times New Roman"/>
          <w:i/>
          <w:iCs/>
        </w:rPr>
        <w:t xml:space="preserve"> </w:t>
      </w:r>
      <w:r w:rsidRPr="004A0C89">
        <w:rPr>
          <w:rFonts w:ascii="Times New Roman" w:hAnsi="Times New Roman" w:cs="Times New Roman"/>
          <w:i/>
          <w:iCs/>
        </w:rPr>
        <w:t>S6</w:t>
      </w:r>
      <w:r w:rsidRPr="004A0C89">
        <w:rPr>
          <w:rFonts w:ascii="Times New Roman" w:hAnsi="Times New Roman" w:cs="Times New Roman"/>
          <w:i/>
          <w:iCs/>
        </w:rPr>
        <w:t>:</w:t>
      </w:r>
      <w:r w:rsidRPr="004A0C89">
        <w:rPr>
          <w:rFonts w:ascii="Times New Roman" w:hAnsi="Times New Roman" w:cs="Times New Roman"/>
          <w:i/>
          <w:iCs/>
        </w:rPr>
        <w:t xml:space="preserve"> CNSC should consider revising its current and planned requirements </w:t>
      </w:r>
      <w:proofErr w:type="gramStart"/>
      <w:r w:rsidRPr="004A0C89">
        <w:rPr>
          <w:rFonts w:ascii="Times New Roman" w:hAnsi="Times New Roman" w:cs="Times New Roman"/>
          <w:i/>
          <w:iCs/>
        </w:rPr>
        <w:t>in the area of</w:t>
      </w:r>
      <w:proofErr w:type="gramEnd"/>
      <w:r w:rsidRPr="004A0C89">
        <w:rPr>
          <w:rFonts w:ascii="Times New Roman" w:hAnsi="Times New Roman" w:cs="Times New Roman"/>
          <w:i/>
          <w:iCs/>
        </w:rPr>
        <w:t xml:space="preserve"> decommissioning to align with the IAEA guidance that entombment is not considered an acceptable strategy for planned decommissioning of existing nuclear power plants (NPPs) and future nuclear facilities.</w:t>
      </w:r>
    </w:p>
    <w:p w14:paraId="3E573E58" w14:textId="64D0960A" w:rsidR="004A0C89" w:rsidRPr="004A0C89" w:rsidRDefault="004A0C89" w:rsidP="004A0C89">
      <w:pPr>
        <w:spacing w:after="120" w:line="240" w:lineRule="auto"/>
        <w:ind w:left="284" w:right="284"/>
        <w:rPr>
          <w:rFonts w:ascii="Times New Roman" w:hAnsi="Times New Roman" w:cs="Times New Roman"/>
          <w:i/>
          <w:iCs/>
        </w:rPr>
      </w:pPr>
      <w:r w:rsidRPr="004A0C89">
        <w:rPr>
          <w:rFonts w:ascii="Times New Roman" w:hAnsi="Times New Roman" w:cs="Times New Roman"/>
          <w:i/>
          <w:iCs/>
        </w:rPr>
        <w:t>Canada’s response</w:t>
      </w:r>
      <w:r w:rsidRPr="004A0C89">
        <w:rPr>
          <w:rFonts w:ascii="Times New Roman" w:hAnsi="Times New Roman" w:cs="Times New Roman"/>
          <w:i/>
          <w:iCs/>
        </w:rPr>
        <w:t xml:space="preserve">: </w:t>
      </w:r>
      <w:r w:rsidRPr="004A0C89">
        <w:rPr>
          <w:rFonts w:ascii="Times New Roman" w:hAnsi="Times New Roman" w:cs="Times New Roman"/>
          <w:i/>
          <w:iCs/>
        </w:rPr>
        <w:t>Accepted. The CNSC’s regulatory framework is performance-based rather than prescriptive; however, the CNSC seeks alignment with international best practices.</w:t>
      </w:r>
    </w:p>
    <w:p w14:paraId="314A7275" w14:textId="3024B53F" w:rsidR="00951D9D" w:rsidRDefault="00951D9D" w:rsidP="00951D9D">
      <w:pPr>
        <w:spacing w:after="120" w:line="240" w:lineRule="auto"/>
        <w:rPr>
          <w:rFonts w:ascii="Times New Roman" w:hAnsi="Times New Roman" w:cs="Times New Roman"/>
        </w:rPr>
      </w:pPr>
      <w:r>
        <w:rPr>
          <w:rFonts w:ascii="Times New Roman" w:hAnsi="Times New Roman" w:cs="Times New Roman"/>
        </w:rPr>
        <w:t xml:space="preserve">Overall, the discussion paper takes an overly administrative approach to the subject of decommissioning, equating </w:t>
      </w:r>
      <w:r w:rsidRPr="00951D9D">
        <w:rPr>
          <w:rFonts w:ascii="Times New Roman" w:hAnsi="Times New Roman" w:cs="Times New Roman"/>
        </w:rPr>
        <w:t xml:space="preserve">the importance of decommissioning </w:t>
      </w:r>
      <w:r>
        <w:rPr>
          <w:rFonts w:ascii="Times New Roman" w:hAnsi="Times New Roman" w:cs="Times New Roman"/>
        </w:rPr>
        <w:t>with their</w:t>
      </w:r>
      <w:r w:rsidRPr="00951D9D">
        <w:rPr>
          <w:rFonts w:ascii="Times New Roman" w:hAnsi="Times New Roman" w:cs="Times New Roman"/>
        </w:rPr>
        <w:t xml:space="preserve"> being </w:t>
      </w:r>
      <w:proofErr w:type="gramStart"/>
      <w:r>
        <w:rPr>
          <w:rFonts w:ascii="Times New Roman" w:hAnsi="Times New Roman" w:cs="Times New Roman"/>
        </w:rPr>
        <w:t xml:space="preserve">a </w:t>
      </w:r>
      <w:r w:rsidRPr="00951D9D">
        <w:rPr>
          <w:rFonts w:ascii="Times New Roman" w:hAnsi="Times New Roman" w:cs="Times New Roman"/>
        </w:rPr>
        <w:t>number of</w:t>
      </w:r>
      <w:proofErr w:type="gramEnd"/>
      <w:r w:rsidRPr="00951D9D">
        <w:rPr>
          <w:rFonts w:ascii="Times New Roman" w:hAnsi="Times New Roman" w:cs="Times New Roman"/>
        </w:rPr>
        <w:t xml:space="preserve"> nuclear facilities that will retire from service in the near future, and summarizing decommissioning as “the administrative and technical actions that are taken to allow for the removal of some or all of the regulatory controls”. It goes on to define </w:t>
      </w:r>
      <w:r>
        <w:rPr>
          <w:rFonts w:ascii="Times New Roman" w:hAnsi="Times New Roman" w:cs="Times New Roman"/>
        </w:rPr>
        <w:t>e</w:t>
      </w:r>
      <w:r w:rsidRPr="00951D9D">
        <w:rPr>
          <w:rFonts w:ascii="Times New Roman" w:hAnsi="Times New Roman" w:cs="Times New Roman"/>
        </w:rPr>
        <w:t>nd-state objectives in entirely administrative terms, i.e. “This end-state generally falls into two categories: 1) unrestricted, where sites are released for unrestricted use, or 2) restricted, where there are some restrictions on the use of sites after decommissioning”.</w:t>
      </w:r>
      <w:r>
        <w:rPr>
          <w:rFonts w:ascii="Times New Roman" w:hAnsi="Times New Roman" w:cs="Times New Roman"/>
        </w:rPr>
        <w:t xml:space="preserve">  The paper couples waste </w:t>
      </w:r>
      <w:r w:rsidRPr="00951D9D">
        <w:rPr>
          <w:rFonts w:ascii="Times New Roman" w:hAnsi="Times New Roman" w:cs="Times New Roman"/>
        </w:rPr>
        <w:t>minimization and decommissioning</w:t>
      </w:r>
      <w:r>
        <w:rPr>
          <w:rFonts w:ascii="Times New Roman" w:hAnsi="Times New Roman" w:cs="Times New Roman"/>
        </w:rPr>
        <w:t xml:space="preserve">. Conceding that decommissioning will </w:t>
      </w:r>
      <w:r w:rsidRPr="00951D9D">
        <w:rPr>
          <w:rFonts w:ascii="Times New Roman" w:hAnsi="Times New Roman" w:cs="Times New Roman"/>
        </w:rPr>
        <w:t>generate large quantities of waste</w:t>
      </w:r>
      <w:r>
        <w:rPr>
          <w:rFonts w:ascii="Times New Roman" w:hAnsi="Times New Roman" w:cs="Times New Roman"/>
        </w:rPr>
        <w:t xml:space="preserve"> it promotes “waste minimization” as the response, referencing the NRCan Discussion Paper.</w:t>
      </w:r>
    </w:p>
    <w:p w14:paraId="6B6F927A" w14:textId="5564B50D" w:rsidR="00DB7D56" w:rsidRDefault="00990E68" w:rsidP="00DB7D56">
      <w:pPr>
        <w:spacing w:after="120" w:line="240" w:lineRule="auto"/>
        <w:rPr>
          <w:rFonts w:ascii="Times New Roman" w:hAnsi="Times New Roman" w:cs="Times New Roman"/>
          <w:b/>
          <w:bCs/>
        </w:rPr>
      </w:pPr>
      <w:r w:rsidRPr="00990E68">
        <w:rPr>
          <w:rFonts w:ascii="Times New Roman" w:hAnsi="Times New Roman" w:cs="Times New Roman"/>
          <w:b/>
          <w:bCs/>
        </w:rPr>
        <w:lastRenderedPageBreak/>
        <w:t>What’s Missing from the NRCan Discussion Paper on</w:t>
      </w:r>
      <w:r w:rsidR="00567FC1">
        <w:rPr>
          <w:rFonts w:ascii="Times New Roman" w:hAnsi="Times New Roman" w:cs="Times New Roman"/>
          <w:b/>
          <w:bCs/>
        </w:rPr>
        <w:t xml:space="preserve"> </w:t>
      </w:r>
      <w:r w:rsidR="00055BD2">
        <w:rPr>
          <w:rFonts w:ascii="Times New Roman" w:hAnsi="Times New Roman" w:cs="Times New Roman"/>
          <w:b/>
          <w:bCs/>
        </w:rPr>
        <w:t>Decommissioning</w:t>
      </w:r>
    </w:p>
    <w:p w14:paraId="6EC7EA9C" w14:textId="0256277F" w:rsidR="00A95C50" w:rsidRPr="00A95C50" w:rsidRDefault="004C2C45" w:rsidP="00A95C50">
      <w:pPr>
        <w:pStyle w:val="ListParagraph"/>
        <w:numPr>
          <w:ilvl w:val="0"/>
          <w:numId w:val="6"/>
        </w:numPr>
        <w:spacing w:after="120" w:line="240" w:lineRule="auto"/>
        <w:rPr>
          <w:rFonts w:ascii="Times New Roman" w:hAnsi="Times New Roman" w:cs="Times New Roman"/>
          <w:b/>
          <w:bCs/>
        </w:rPr>
      </w:pPr>
      <w:r>
        <w:rPr>
          <w:rFonts w:ascii="Times New Roman" w:hAnsi="Times New Roman" w:cs="Times New Roman"/>
        </w:rPr>
        <w:t>Discussion of</w:t>
      </w:r>
      <w:r w:rsidR="00A95C50">
        <w:rPr>
          <w:rFonts w:ascii="Times New Roman" w:hAnsi="Times New Roman" w:cs="Times New Roman"/>
        </w:rPr>
        <w:t xml:space="preserve"> waste categories, classification, inventories</w:t>
      </w:r>
      <w:r w:rsidR="00845308">
        <w:rPr>
          <w:rFonts w:ascii="Times New Roman" w:hAnsi="Times New Roman" w:cs="Times New Roman"/>
        </w:rPr>
        <w:t xml:space="preserve"> in relationship to decommissioning options</w:t>
      </w:r>
    </w:p>
    <w:p w14:paraId="7A99AB84" w14:textId="3E35E56A" w:rsidR="00A95C50" w:rsidRPr="00845308" w:rsidRDefault="00845308" w:rsidP="00055BD2">
      <w:pPr>
        <w:pStyle w:val="ListParagraph"/>
        <w:numPr>
          <w:ilvl w:val="0"/>
          <w:numId w:val="6"/>
        </w:numPr>
        <w:spacing w:after="120" w:line="240" w:lineRule="auto"/>
        <w:rPr>
          <w:rFonts w:ascii="Times New Roman" w:hAnsi="Times New Roman" w:cs="Times New Roman"/>
          <w:b/>
          <w:bCs/>
        </w:rPr>
      </w:pPr>
      <w:r>
        <w:rPr>
          <w:rFonts w:ascii="Times New Roman" w:hAnsi="Times New Roman" w:cs="Times New Roman"/>
        </w:rPr>
        <w:t>Analysis of shortcomings in the current decommissioning planning process, such as the absence of comprehensive descriptions of site conditions in preliminary decommissioning plans, lack of transparency</w:t>
      </w:r>
    </w:p>
    <w:p w14:paraId="34AEE8C8" w14:textId="6FA0A42E" w:rsidR="00845308" w:rsidRPr="00A95C50" w:rsidRDefault="00845308" w:rsidP="00055BD2">
      <w:pPr>
        <w:pStyle w:val="ListParagraph"/>
        <w:numPr>
          <w:ilvl w:val="0"/>
          <w:numId w:val="6"/>
        </w:numPr>
        <w:spacing w:after="120" w:line="240" w:lineRule="auto"/>
        <w:rPr>
          <w:rFonts w:ascii="Times New Roman" w:hAnsi="Times New Roman" w:cs="Times New Roman"/>
          <w:b/>
          <w:bCs/>
        </w:rPr>
      </w:pPr>
      <w:r>
        <w:rPr>
          <w:rFonts w:ascii="Times New Roman" w:hAnsi="Times New Roman" w:cs="Times New Roman"/>
        </w:rPr>
        <w:t xml:space="preserve">Discussion of exposure risk, including to workers, during decommissioning phases </w:t>
      </w:r>
    </w:p>
    <w:p w14:paraId="38B87C93" w14:textId="3103D1F0" w:rsidR="00872B2C" w:rsidRPr="00990E68" w:rsidRDefault="003D5499" w:rsidP="0095285F">
      <w:pPr>
        <w:spacing w:after="120" w:line="240" w:lineRule="auto"/>
        <w:rPr>
          <w:rFonts w:ascii="Times New Roman" w:hAnsi="Times New Roman" w:cs="Times New Roman"/>
          <w:b/>
          <w:bCs/>
        </w:rPr>
      </w:pPr>
      <w:r w:rsidRPr="00990E68">
        <w:rPr>
          <w:rFonts w:ascii="Times New Roman" w:hAnsi="Times New Roman" w:cs="Times New Roman"/>
          <w:b/>
          <w:bCs/>
        </w:rPr>
        <w:t xml:space="preserve">Natural Resources Canada </w:t>
      </w:r>
      <w:r w:rsidR="00990E68">
        <w:rPr>
          <w:rFonts w:ascii="Times New Roman" w:hAnsi="Times New Roman" w:cs="Times New Roman"/>
          <w:b/>
          <w:bCs/>
        </w:rPr>
        <w:t>poses t</w:t>
      </w:r>
      <w:r w:rsidR="00567FC1">
        <w:rPr>
          <w:rFonts w:ascii="Times New Roman" w:hAnsi="Times New Roman" w:cs="Times New Roman"/>
          <w:b/>
          <w:bCs/>
        </w:rPr>
        <w:t>wo</w:t>
      </w:r>
      <w:r w:rsidRPr="00990E68">
        <w:rPr>
          <w:rFonts w:ascii="Times New Roman" w:hAnsi="Times New Roman" w:cs="Times New Roman"/>
          <w:b/>
          <w:bCs/>
        </w:rPr>
        <w:t xml:space="preserve"> questions </w:t>
      </w:r>
      <w:r w:rsidR="00990E68">
        <w:rPr>
          <w:rFonts w:ascii="Times New Roman" w:hAnsi="Times New Roman" w:cs="Times New Roman"/>
          <w:b/>
          <w:bCs/>
        </w:rPr>
        <w:t>to</w:t>
      </w:r>
      <w:r w:rsidRPr="00990E68">
        <w:rPr>
          <w:rFonts w:ascii="Times New Roman" w:hAnsi="Times New Roman" w:cs="Times New Roman"/>
          <w:b/>
          <w:bCs/>
        </w:rPr>
        <w:t xml:space="preserve"> those comment</w:t>
      </w:r>
      <w:r w:rsidR="00990E68">
        <w:rPr>
          <w:rFonts w:ascii="Times New Roman" w:hAnsi="Times New Roman" w:cs="Times New Roman"/>
          <w:b/>
          <w:bCs/>
        </w:rPr>
        <w:t>ing</w:t>
      </w:r>
      <w:r w:rsidRPr="00990E68">
        <w:rPr>
          <w:rFonts w:ascii="Times New Roman" w:hAnsi="Times New Roman" w:cs="Times New Roman"/>
          <w:b/>
          <w:bCs/>
        </w:rPr>
        <w:t xml:space="preserve"> on the Waste Minimization paper</w:t>
      </w:r>
    </w:p>
    <w:tbl>
      <w:tblPr>
        <w:tblStyle w:val="TableGrid"/>
        <w:tblW w:w="0" w:type="auto"/>
        <w:tblLook w:val="04A0" w:firstRow="1" w:lastRow="0" w:firstColumn="1" w:lastColumn="0" w:noHBand="0" w:noVBand="1"/>
      </w:tblPr>
      <w:tblGrid>
        <w:gridCol w:w="2972"/>
        <w:gridCol w:w="6990"/>
      </w:tblGrid>
      <w:tr w:rsidR="003D5499" w:rsidRPr="003D5499" w14:paraId="0242678E" w14:textId="77777777" w:rsidTr="00845308">
        <w:tc>
          <w:tcPr>
            <w:tcW w:w="2972" w:type="dxa"/>
          </w:tcPr>
          <w:p w14:paraId="6DA52A66" w14:textId="0952AAC6" w:rsidR="003D5499" w:rsidRPr="00055BD2" w:rsidRDefault="003D5499" w:rsidP="00587CC3">
            <w:pPr>
              <w:spacing w:after="120"/>
              <w:rPr>
                <w:rFonts w:ascii="Times New Roman" w:hAnsi="Times New Roman" w:cs="Times New Roman"/>
              </w:rPr>
            </w:pPr>
            <w:r w:rsidRPr="00055BD2">
              <w:rPr>
                <w:rFonts w:ascii="Times New Roman" w:hAnsi="Times New Roman" w:cs="Times New Roman"/>
              </w:rPr>
              <w:t xml:space="preserve">NRCan Discussion Questions on </w:t>
            </w:r>
            <w:r w:rsidR="00055BD2" w:rsidRPr="00055BD2">
              <w:rPr>
                <w:rFonts w:ascii="Times New Roman" w:hAnsi="Times New Roman" w:cs="Times New Roman"/>
              </w:rPr>
              <w:t xml:space="preserve">Decommissioning </w:t>
            </w:r>
          </w:p>
        </w:tc>
        <w:tc>
          <w:tcPr>
            <w:tcW w:w="6990" w:type="dxa"/>
          </w:tcPr>
          <w:p w14:paraId="74588064" w14:textId="2F5FC95C" w:rsidR="003D5499" w:rsidRPr="003D5499" w:rsidRDefault="003D5499" w:rsidP="00587CC3">
            <w:pPr>
              <w:spacing w:after="120"/>
              <w:rPr>
                <w:rFonts w:ascii="Times New Roman" w:hAnsi="Times New Roman" w:cs="Times New Roman"/>
              </w:rPr>
            </w:pPr>
            <w:r>
              <w:rPr>
                <w:rFonts w:ascii="Times New Roman" w:hAnsi="Times New Roman" w:cs="Times New Roman"/>
              </w:rPr>
              <w:t>Sample Comments in Response</w:t>
            </w:r>
          </w:p>
        </w:tc>
      </w:tr>
      <w:tr w:rsidR="003D5499" w:rsidRPr="003D5499" w14:paraId="62A8BB1D" w14:textId="3E89BEE2" w:rsidTr="00845308">
        <w:tc>
          <w:tcPr>
            <w:tcW w:w="2972" w:type="dxa"/>
          </w:tcPr>
          <w:p w14:paraId="568FB893" w14:textId="1F8DEEF2" w:rsidR="003D5499" w:rsidRPr="003D5499" w:rsidRDefault="003D5499" w:rsidP="00DB30B6">
            <w:pPr>
              <w:rPr>
                <w:rFonts w:ascii="Times New Roman" w:hAnsi="Times New Roman" w:cs="Times New Roman"/>
              </w:rPr>
            </w:pPr>
            <w:r w:rsidRPr="00DB30B6">
              <w:rPr>
                <w:rFonts w:ascii="Times New Roman" w:hAnsi="Times New Roman" w:cs="Times New Roman"/>
              </w:rPr>
              <w:t xml:space="preserve">1. </w:t>
            </w:r>
            <w:r w:rsidR="00DB30B6">
              <w:t>What do you feel are important policy considerations that should influence the choice of decommissioning strategies by nuclear operators and should be considered as part of Canada’s radioactive waste policy?</w:t>
            </w:r>
          </w:p>
        </w:tc>
        <w:tc>
          <w:tcPr>
            <w:tcW w:w="6990" w:type="dxa"/>
          </w:tcPr>
          <w:p w14:paraId="269C8A17" w14:textId="77777777" w:rsidR="0058442B" w:rsidRPr="00845308" w:rsidRDefault="0058442B" w:rsidP="00845308">
            <w:pPr>
              <w:pStyle w:val="ListParagraph"/>
              <w:numPr>
                <w:ilvl w:val="0"/>
                <w:numId w:val="12"/>
              </w:numPr>
              <w:spacing w:after="120"/>
              <w:rPr>
                <w:rFonts w:ascii="Times New Roman" w:hAnsi="Times New Roman" w:cs="Times New Roman"/>
              </w:rPr>
            </w:pPr>
            <w:r w:rsidRPr="00845308">
              <w:rPr>
                <w:rFonts w:ascii="Times New Roman" w:hAnsi="Times New Roman" w:cs="Times New Roman"/>
              </w:rPr>
              <w:t>Decommissioning approaches must at minimum conform to international safety standards.</w:t>
            </w:r>
          </w:p>
          <w:p w14:paraId="5E6A4D26" w14:textId="77777777" w:rsidR="0058442B" w:rsidRPr="00845308" w:rsidRDefault="0058442B" w:rsidP="00845308">
            <w:pPr>
              <w:pStyle w:val="ListParagraph"/>
              <w:numPr>
                <w:ilvl w:val="0"/>
                <w:numId w:val="12"/>
              </w:numPr>
              <w:spacing w:after="120"/>
              <w:rPr>
                <w:rFonts w:ascii="Times New Roman" w:hAnsi="Times New Roman" w:cs="Times New Roman"/>
              </w:rPr>
            </w:pPr>
            <w:r w:rsidRPr="00845308">
              <w:rPr>
                <w:rFonts w:ascii="Times New Roman" w:hAnsi="Times New Roman" w:cs="Times New Roman"/>
              </w:rPr>
              <w:t xml:space="preserve">Site conditions must be fully described, including a complete list of radionuclides found in soil, </w:t>
            </w:r>
            <w:proofErr w:type="gramStart"/>
            <w:r w:rsidRPr="00845308">
              <w:rPr>
                <w:rFonts w:ascii="Times New Roman" w:hAnsi="Times New Roman" w:cs="Times New Roman"/>
              </w:rPr>
              <w:t>ground</w:t>
            </w:r>
            <w:proofErr w:type="gramEnd"/>
            <w:r w:rsidRPr="00845308">
              <w:rPr>
                <w:rFonts w:ascii="Times New Roman" w:hAnsi="Times New Roman" w:cs="Times New Roman"/>
              </w:rPr>
              <w:t xml:space="preserve"> or surface water and/or involved in any radioactive decommissioning scenario</w:t>
            </w:r>
          </w:p>
          <w:p w14:paraId="2F1E9EDF" w14:textId="77777777" w:rsidR="0058442B" w:rsidRPr="00845308" w:rsidRDefault="0058442B" w:rsidP="00845308">
            <w:pPr>
              <w:pStyle w:val="ListParagraph"/>
              <w:numPr>
                <w:ilvl w:val="0"/>
                <w:numId w:val="12"/>
              </w:numPr>
              <w:spacing w:after="120"/>
              <w:rPr>
                <w:rFonts w:ascii="Times New Roman" w:hAnsi="Times New Roman" w:cs="Times New Roman"/>
              </w:rPr>
            </w:pPr>
            <w:r w:rsidRPr="00845308">
              <w:rPr>
                <w:rFonts w:ascii="Times New Roman" w:hAnsi="Times New Roman" w:cs="Times New Roman"/>
              </w:rPr>
              <w:t>Radioactive wastes on site and projected decommissioning wastes must be fully inventoried</w:t>
            </w:r>
          </w:p>
          <w:p w14:paraId="44C19259" w14:textId="77777777" w:rsidR="0058442B" w:rsidRPr="00845308" w:rsidRDefault="0058442B" w:rsidP="00845308">
            <w:pPr>
              <w:pStyle w:val="ListParagraph"/>
              <w:numPr>
                <w:ilvl w:val="0"/>
                <w:numId w:val="12"/>
              </w:numPr>
              <w:spacing w:after="120"/>
              <w:rPr>
                <w:rFonts w:ascii="Times New Roman" w:hAnsi="Times New Roman" w:cs="Times New Roman"/>
              </w:rPr>
            </w:pPr>
            <w:r w:rsidRPr="00845308">
              <w:rPr>
                <w:rFonts w:ascii="Times New Roman" w:hAnsi="Times New Roman" w:cs="Times New Roman"/>
              </w:rPr>
              <w:t xml:space="preserve">The list of radionuclides found on site and the inventories of radioactive wastes (on site and decommissioning wastes) must </w:t>
            </w:r>
            <w:proofErr w:type="gramStart"/>
            <w:r w:rsidRPr="00845308">
              <w:rPr>
                <w:rFonts w:ascii="Times New Roman" w:hAnsi="Times New Roman" w:cs="Times New Roman"/>
              </w:rPr>
              <w:t>include  half</w:t>
            </w:r>
            <w:proofErr w:type="gramEnd"/>
            <w:r w:rsidRPr="00845308">
              <w:rPr>
                <w:rFonts w:ascii="Times New Roman" w:hAnsi="Times New Roman" w:cs="Times New Roman"/>
              </w:rPr>
              <w:t xml:space="preserve">-lives, activities (total becquerels as well as becquerels per kilogram or per </w:t>
            </w:r>
            <w:proofErr w:type="spellStart"/>
            <w:r w:rsidRPr="00845308">
              <w:rPr>
                <w:rFonts w:ascii="Times New Roman" w:hAnsi="Times New Roman" w:cs="Times New Roman"/>
              </w:rPr>
              <w:t>litre</w:t>
            </w:r>
            <w:proofErr w:type="spellEnd"/>
            <w:r w:rsidRPr="00845308">
              <w:rPr>
                <w:rFonts w:ascii="Times New Roman" w:hAnsi="Times New Roman" w:cs="Times New Roman"/>
              </w:rPr>
              <w:t>), mode of disintegration, radioactive progeny and target organs in human receptors</w:t>
            </w:r>
          </w:p>
          <w:p w14:paraId="51184928" w14:textId="77777777" w:rsidR="0058442B" w:rsidRPr="00845308" w:rsidRDefault="0058442B" w:rsidP="00845308">
            <w:pPr>
              <w:pStyle w:val="ListParagraph"/>
              <w:numPr>
                <w:ilvl w:val="0"/>
                <w:numId w:val="12"/>
              </w:numPr>
              <w:spacing w:after="120"/>
              <w:rPr>
                <w:rFonts w:ascii="Times New Roman" w:hAnsi="Times New Roman" w:cs="Times New Roman"/>
              </w:rPr>
            </w:pPr>
            <w:r w:rsidRPr="00845308">
              <w:rPr>
                <w:rFonts w:ascii="Times New Roman" w:hAnsi="Times New Roman" w:cs="Times New Roman"/>
              </w:rPr>
              <w:t>Detailed descriptions of site conditions and the waste inventories must be developed and be publicly available and peer reviewed, including by the public and Indigenous peoples, at all decommissioning stages, including in the preliminary decommissioning planning stages</w:t>
            </w:r>
          </w:p>
          <w:p w14:paraId="2BBB61CB" w14:textId="77777777" w:rsidR="0058442B" w:rsidRPr="00845308" w:rsidRDefault="0058442B" w:rsidP="00845308">
            <w:pPr>
              <w:pStyle w:val="ListParagraph"/>
              <w:numPr>
                <w:ilvl w:val="0"/>
                <w:numId w:val="12"/>
              </w:numPr>
              <w:spacing w:after="120"/>
              <w:rPr>
                <w:rFonts w:ascii="Times New Roman" w:hAnsi="Times New Roman" w:cs="Times New Roman"/>
              </w:rPr>
            </w:pPr>
            <w:r w:rsidRPr="00845308">
              <w:rPr>
                <w:rFonts w:ascii="Times New Roman" w:hAnsi="Times New Roman" w:cs="Times New Roman"/>
              </w:rPr>
              <w:t xml:space="preserve">Information and inventories related to decommissioning must be available </w:t>
            </w:r>
            <w:proofErr w:type="gramStart"/>
            <w:r w:rsidRPr="00845308">
              <w:rPr>
                <w:rFonts w:ascii="Times New Roman" w:hAnsi="Times New Roman" w:cs="Times New Roman"/>
              </w:rPr>
              <w:t>and  communicated</w:t>
            </w:r>
            <w:proofErr w:type="gramEnd"/>
            <w:r w:rsidRPr="00845308">
              <w:rPr>
                <w:rFonts w:ascii="Times New Roman" w:hAnsi="Times New Roman" w:cs="Times New Roman"/>
              </w:rPr>
              <w:t xml:space="preserve"> to  indigenous peoples and other members of the Canadian public, including in a plain language stripped of scientific symbols and abbreviations</w:t>
            </w:r>
          </w:p>
          <w:p w14:paraId="456CB014" w14:textId="4EA36F8E" w:rsidR="003D5499" w:rsidRPr="00845308" w:rsidRDefault="0058442B" w:rsidP="00845308">
            <w:pPr>
              <w:pStyle w:val="ListParagraph"/>
              <w:numPr>
                <w:ilvl w:val="0"/>
                <w:numId w:val="12"/>
              </w:numPr>
              <w:spacing w:after="120"/>
              <w:rPr>
                <w:rFonts w:ascii="Times New Roman" w:hAnsi="Times New Roman" w:cs="Times New Roman"/>
              </w:rPr>
            </w:pPr>
            <w:r w:rsidRPr="00845308">
              <w:rPr>
                <w:rFonts w:ascii="Times New Roman" w:hAnsi="Times New Roman" w:cs="Times New Roman"/>
              </w:rPr>
              <w:t xml:space="preserve">All decommissioning projects must include a comprehensive strategy for the transmission of Records, Knowledge and Memory (RK&amp;M) to future generations, including a detailed inventory of all specific radionuclides included in the decommissioning wastes along with relevant physical, </w:t>
            </w:r>
            <w:proofErr w:type="gramStart"/>
            <w:r w:rsidRPr="00845308">
              <w:rPr>
                <w:rFonts w:ascii="Times New Roman" w:hAnsi="Times New Roman" w:cs="Times New Roman"/>
              </w:rPr>
              <w:t>chemical</w:t>
            </w:r>
            <w:proofErr w:type="gramEnd"/>
            <w:r w:rsidRPr="00845308">
              <w:rPr>
                <w:rFonts w:ascii="Times New Roman" w:hAnsi="Times New Roman" w:cs="Times New Roman"/>
              </w:rPr>
              <w:t xml:space="preserve"> and biological properties of each</w:t>
            </w:r>
          </w:p>
        </w:tc>
      </w:tr>
      <w:tr w:rsidR="003D5499" w:rsidRPr="003D5499" w14:paraId="0D331BD3" w14:textId="75ABD025" w:rsidTr="00845308">
        <w:tc>
          <w:tcPr>
            <w:tcW w:w="2972" w:type="dxa"/>
          </w:tcPr>
          <w:p w14:paraId="7E1F2DF5" w14:textId="78440564" w:rsidR="003D5499" w:rsidRPr="003D5499" w:rsidRDefault="003D5499" w:rsidP="00DB30B6">
            <w:pPr>
              <w:rPr>
                <w:rFonts w:ascii="Times New Roman" w:hAnsi="Times New Roman" w:cs="Times New Roman"/>
              </w:rPr>
            </w:pPr>
            <w:r w:rsidRPr="00DB30B6">
              <w:rPr>
                <w:rFonts w:ascii="Times New Roman" w:hAnsi="Times New Roman" w:cs="Times New Roman"/>
              </w:rPr>
              <w:t xml:space="preserve">2. </w:t>
            </w:r>
            <w:r w:rsidR="00DB30B6">
              <w:t>In what ways should Canada’s policy address the setting of end-state objectives for decommissioning?</w:t>
            </w:r>
          </w:p>
        </w:tc>
        <w:tc>
          <w:tcPr>
            <w:tcW w:w="6990" w:type="dxa"/>
          </w:tcPr>
          <w:p w14:paraId="5B5D1653" w14:textId="2231746A" w:rsidR="003D5499" w:rsidRPr="003D5499" w:rsidRDefault="0058442B" w:rsidP="00587CC3">
            <w:pPr>
              <w:spacing w:after="120"/>
              <w:rPr>
                <w:rFonts w:ascii="Times New Roman" w:hAnsi="Times New Roman" w:cs="Times New Roman"/>
              </w:rPr>
            </w:pPr>
            <w:r>
              <w:rPr>
                <w:rFonts w:ascii="Times New Roman" w:hAnsi="Times New Roman" w:cs="Times New Roman"/>
              </w:rPr>
              <w:t>End state objectives should be set in ecological and human health terms, not administrative terms. There should be measurable objectives for ground and surface water, soil and air, and these objectives should be developed by considering the pre-development state of the site (</w:t>
            </w:r>
            <w:proofErr w:type="gramStart"/>
            <w:r>
              <w:rPr>
                <w:rFonts w:ascii="Times New Roman" w:hAnsi="Times New Roman" w:cs="Times New Roman"/>
              </w:rPr>
              <w:t>i.e.</w:t>
            </w:r>
            <w:proofErr w:type="gramEnd"/>
            <w:r>
              <w:rPr>
                <w:rFonts w:ascii="Times New Roman" w:hAnsi="Times New Roman" w:cs="Times New Roman"/>
              </w:rPr>
              <w:t xml:space="preserve"> without radioactive and toxic contamination) and the protection of human health and the environment. </w:t>
            </w:r>
          </w:p>
        </w:tc>
      </w:tr>
    </w:tbl>
    <w:p w14:paraId="78DF6072" w14:textId="77777777" w:rsidR="00F85640" w:rsidRDefault="00F85640" w:rsidP="00ED3E61">
      <w:pPr>
        <w:spacing w:after="120" w:line="240" w:lineRule="auto"/>
        <w:rPr>
          <w:rFonts w:ascii="Times New Roman" w:hAnsi="Times New Roman" w:cs="Times New Roman"/>
          <w:b/>
          <w:bCs/>
        </w:rPr>
      </w:pPr>
    </w:p>
    <w:p w14:paraId="2A661219" w14:textId="3A9ECB05" w:rsidR="00EE3C4A" w:rsidRDefault="006A5827" w:rsidP="00ED3E61">
      <w:pPr>
        <w:spacing w:after="120" w:line="240" w:lineRule="auto"/>
        <w:rPr>
          <w:rFonts w:ascii="Times New Roman" w:hAnsi="Times New Roman" w:cs="Times New Roman"/>
          <w:b/>
          <w:bCs/>
        </w:rPr>
      </w:pPr>
      <w:r w:rsidRPr="006A5827">
        <w:rPr>
          <w:rFonts w:ascii="Times New Roman" w:hAnsi="Times New Roman" w:cs="Times New Roman"/>
          <w:b/>
          <w:bCs/>
        </w:rPr>
        <w:t>Additional Reading</w:t>
      </w:r>
    </w:p>
    <w:p w14:paraId="49509D40" w14:textId="4DB7F61E" w:rsidR="00845308" w:rsidRPr="00845308" w:rsidRDefault="00845308" w:rsidP="00845308">
      <w:pPr>
        <w:spacing w:after="120" w:line="240" w:lineRule="auto"/>
        <w:rPr>
          <w:rFonts w:ascii="Times New Roman" w:hAnsi="Times New Roman" w:cs="Times New Roman"/>
          <w:color w:val="000000" w:themeColor="text1"/>
          <w:sz w:val="18"/>
          <w:szCs w:val="18"/>
          <w:shd w:val="clear" w:color="auto" w:fill="FFFFFF"/>
        </w:rPr>
      </w:pPr>
      <w:r w:rsidRPr="00845308">
        <w:rPr>
          <w:rFonts w:ascii="Times New Roman" w:hAnsi="Times New Roman" w:cs="Times New Roman"/>
          <w:color w:val="000000" w:themeColor="text1"/>
          <w:sz w:val="18"/>
          <w:szCs w:val="18"/>
          <w:shd w:val="clear" w:color="auto" w:fill="FFFFFF"/>
        </w:rPr>
        <w:t xml:space="preserve">ENGO Backgrounder on </w:t>
      </w:r>
      <w:hyperlink r:id="rId9" w:history="1">
        <w:r w:rsidRPr="00845308">
          <w:rPr>
            <w:rStyle w:val="Hyperlink"/>
            <w:rFonts w:ascii="Times New Roman" w:hAnsi="Times New Roman" w:cs="Times New Roman"/>
            <w:sz w:val="18"/>
            <w:szCs w:val="18"/>
            <w:shd w:val="clear" w:color="auto" w:fill="FFFFFF"/>
          </w:rPr>
          <w:t>Principles of Radioactive Waste Management</w:t>
        </w:r>
      </w:hyperlink>
    </w:p>
    <w:p w14:paraId="6B2136B3" w14:textId="19525C20" w:rsidR="00845308" w:rsidRDefault="00845308" w:rsidP="00845308">
      <w:pPr>
        <w:spacing w:after="120" w:line="240" w:lineRule="auto"/>
        <w:rPr>
          <w:rFonts w:ascii="Times New Roman" w:hAnsi="Times New Roman" w:cs="Times New Roman"/>
          <w:color w:val="000000" w:themeColor="text1"/>
          <w:sz w:val="18"/>
          <w:szCs w:val="18"/>
          <w:shd w:val="clear" w:color="auto" w:fill="FFFFFF"/>
        </w:rPr>
      </w:pPr>
      <w:r w:rsidRPr="00845308">
        <w:rPr>
          <w:rFonts w:ascii="Times New Roman" w:hAnsi="Times New Roman" w:cs="Times New Roman"/>
          <w:color w:val="000000" w:themeColor="text1"/>
          <w:sz w:val="18"/>
          <w:szCs w:val="18"/>
          <w:shd w:val="clear" w:color="auto" w:fill="FFFFFF"/>
        </w:rPr>
        <w:t xml:space="preserve">ENGO Backgrounder on </w:t>
      </w:r>
      <w:hyperlink r:id="rId10" w:history="1">
        <w:r w:rsidRPr="00845308">
          <w:rPr>
            <w:rStyle w:val="Hyperlink"/>
            <w:rFonts w:ascii="Times New Roman" w:hAnsi="Times New Roman" w:cs="Times New Roman"/>
            <w:sz w:val="18"/>
            <w:szCs w:val="18"/>
            <w:shd w:val="clear" w:color="auto" w:fill="FFFFFF"/>
          </w:rPr>
          <w:t>Waste Characterization and Classification</w:t>
        </w:r>
      </w:hyperlink>
    </w:p>
    <w:p w14:paraId="07A4F0A6" w14:textId="545B9A1C" w:rsidR="00F85640" w:rsidRDefault="00F85640" w:rsidP="00F85640">
      <w:pPr>
        <w:spacing w:after="120" w:line="240" w:lineRule="auto"/>
        <w:rPr>
          <w:rFonts w:ascii="Times New Roman" w:hAnsi="Times New Roman" w:cs="Times New Roman"/>
          <w:color w:val="000000" w:themeColor="text1"/>
          <w:sz w:val="18"/>
          <w:szCs w:val="18"/>
          <w:shd w:val="clear" w:color="auto" w:fill="FFFFFF"/>
        </w:rPr>
      </w:pPr>
      <w:hyperlink r:id="rId11" w:history="1">
        <w:r w:rsidRPr="00F85640">
          <w:rPr>
            <w:rStyle w:val="Hyperlink"/>
            <w:rFonts w:ascii="Times New Roman" w:hAnsi="Times New Roman" w:cs="Times New Roman"/>
            <w:sz w:val="18"/>
            <w:szCs w:val="18"/>
            <w:shd w:val="clear" w:color="auto" w:fill="FFFFFF"/>
          </w:rPr>
          <w:t>Life after nuclear: Decommissioning power reactors</w:t>
        </w:r>
      </w:hyperlink>
      <w:r>
        <w:rPr>
          <w:rFonts w:ascii="Times New Roman" w:hAnsi="Times New Roman" w:cs="Times New Roman"/>
          <w:color w:val="000000" w:themeColor="text1"/>
          <w:sz w:val="18"/>
          <w:szCs w:val="18"/>
          <w:shd w:val="clear" w:color="auto" w:fill="FFFFFF"/>
        </w:rPr>
        <w:t xml:space="preserve">, Dr. </w:t>
      </w:r>
      <w:r w:rsidRPr="00F85640">
        <w:rPr>
          <w:rFonts w:ascii="Times New Roman" w:hAnsi="Times New Roman" w:cs="Times New Roman"/>
          <w:color w:val="000000" w:themeColor="text1"/>
          <w:sz w:val="18"/>
          <w:szCs w:val="18"/>
          <w:shd w:val="clear" w:color="auto" w:fill="FFFFFF"/>
        </w:rPr>
        <w:t xml:space="preserve">David </w:t>
      </w:r>
      <w:proofErr w:type="spellStart"/>
      <w:r w:rsidRPr="00F85640">
        <w:rPr>
          <w:rFonts w:ascii="Times New Roman" w:hAnsi="Times New Roman" w:cs="Times New Roman"/>
          <w:color w:val="000000" w:themeColor="text1"/>
          <w:sz w:val="18"/>
          <w:szCs w:val="18"/>
          <w:shd w:val="clear" w:color="auto" w:fill="FFFFFF"/>
        </w:rPr>
        <w:t>Lochbaum</w:t>
      </w:r>
      <w:proofErr w:type="spellEnd"/>
      <w:r>
        <w:rPr>
          <w:rFonts w:ascii="Times New Roman" w:hAnsi="Times New Roman" w:cs="Times New Roman"/>
          <w:color w:val="000000" w:themeColor="text1"/>
          <w:sz w:val="18"/>
          <w:szCs w:val="18"/>
          <w:shd w:val="clear" w:color="auto" w:fill="FFFFFF"/>
        </w:rPr>
        <w:t>, Bulletin of Atomic Scientists</w:t>
      </w:r>
    </w:p>
    <w:p w14:paraId="5933FDDC" w14:textId="58218B2C" w:rsidR="00F85640" w:rsidRDefault="000F12A7" w:rsidP="00F85640">
      <w:pPr>
        <w:spacing w:after="120" w:line="240" w:lineRule="auto"/>
        <w:rPr>
          <w:rFonts w:ascii="Times New Roman" w:hAnsi="Times New Roman" w:cs="Times New Roman"/>
          <w:color w:val="000000" w:themeColor="text1"/>
          <w:sz w:val="18"/>
          <w:szCs w:val="18"/>
          <w:shd w:val="clear" w:color="auto" w:fill="FFFFFF"/>
        </w:rPr>
      </w:pPr>
      <w:hyperlink r:id="rId12" w:history="1">
        <w:r w:rsidR="00F85640" w:rsidRPr="000F12A7">
          <w:rPr>
            <w:rStyle w:val="Hyperlink"/>
            <w:rFonts w:ascii="Times New Roman" w:hAnsi="Times New Roman" w:cs="Times New Roman"/>
            <w:sz w:val="18"/>
            <w:szCs w:val="18"/>
            <w:shd w:val="clear" w:color="auto" w:fill="FFFFFF"/>
          </w:rPr>
          <w:t>Nuclear Hotseat</w:t>
        </w:r>
        <w:r w:rsidRPr="000F12A7">
          <w:rPr>
            <w:rStyle w:val="Hyperlink"/>
            <w:rFonts w:ascii="Times New Roman" w:hAnsi="Times New Roman" w:cs="Times New Roman"/>
            <w:sz w:val="18"/>
            <w:szCs w:val="18"/>
            <w:shd w:val="clear" w:color="auto" w:fill="FFFFFF"/>
          </w:rPr>
          <w:t xml:space="preserve"> May 2021</w:t>
        </w:r>
      </w:hyperlink>
      <w:r w:rsidR="00F85640">
        <w:rPr>
          <w:rFonts w:ascii="Times New Roman" w:hAnsi="Times New Roman" w:cs="Times New Roman"/>
          <w:color w:val="000000" w:themeColor="text1"/>
          <w:sz w:val="18"/>
          <w:szCs w:val="18"/>
          <w:shd w:val="clear" w:color="auto" w:fill="FFFFFF"/>
        </w:rPr>
        <w:t xml:space="preserve"> Interviews with Manna Jo Green and Dr. Gordon Edwards on Nuclear Decommissioning </w:t>
      </w:r>
    </w:p>
    <w:p w14:paraId="406266B4" w14:textId="0DE15447" w:rsidR="00010584" w:rsidRDefault="00845308" w:rsidP="00ED3E61">
      <w:pPr>
        <w:spacing w:after="120" w:line="240" w:lineRule="auto"/>
        <w:rPr>
          <w:rFonts w:ascii="Times New Roman" w:hAnsi="Times New Roman" w:cs="Times New Roman"/>
          <w:sz w:val="20"/>
          <w:szCs w:val="20"/>
        </w:rPr>
      </w:pPr>
      <w:r w:rsidRPr="00845308">
        <w:rPr>
          <w:rFonts w:ascii="Times New Roman" w:hAnsi="Times New Roman" w:cs="Times New Roman"/>
          <w:sz w:val="20"/>
          <w:szCs w:val="20"/>
        </w:rPr>
        <w:t xml:space="preserve">IAEA Safety Standards No. GSR Part 6 </w:t>
      </w:r>
      <w:hyperlink r:id="rId13" w:history="1">
        <w:r w:rsidRPr="00845308">
          <w:rPr>
            <w:rStyle w:val="Hyperlink"/>
            <w:rFonts w:ascii="Times New Roman" w:hAnsi="Times New Roman" w:cs="Times New Roman"/>
            <w:sz w:val="20"/>
            <w:szCs w:val="20"/>
          </w:rPr>
          <w:t xml:space="preserve">Decommissioning of Facilities </w:t>
        </w:r>
      </w:hyperlink>
      <w:r w:rsidRPr="00845308">
        <w:rPr>
          <w:rFonts w:ascii="Times New Roman" w:hAnsi="Times New Roman" w:cs="Times New Roman"/>
          <w:sz w:val="20"/>
          <w:szCs w:val="20"/>
        </w:rPr>
        <w:t xml:space="preserve"> </w:t>
      </w:r>
    </w:p>
    <w:p w14:paraId="4B97A85F" w14:textId="5C41618E" w:rsidR="00EE3C4A" w:rsidRPr="00EE3C4A" w:rsidRDefault="00EE3C4A" w:rsidP="00D31FFF">
      <w:pPr>
        <w:rPr>
          <w:rFonts w:ascii="Times New Roman" w:hAnsi="Times New Roman" w:cs="Times New Roman"/>
          <w:sz w:val="20"/>
          <w:szCs w:val="20"/>
        </w:rPr>
      </w:pPr>
      <w:r w:rsidRPr="00EE3C4A">
        <w:rPr>
          <w:rFonts w:ascii="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4E48E8DB" wp14:editId="347CD04F">
                <wp:simplePos x="0" y="0"/>
                <wp:positionH relativeFrom="column">
                  <wp:posOffset>-635</wp:posOffset>
                </wp:positionH>
                <wp:positionV relativeFrom="paragraph">
                  <wp:posOffset>103505</wp:posOffset>
                </wp:positionV>
                <wp:extent cx="6623222" cy="628650"/>
                <wp:effectExtent l="0" t="0" r="254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222" cy="628650"/>
                        </a:xfrm>
                        <a:prstGeom prst="rect">
                          <a:avLst/>
                        </a:prstGeom>
                        <a:solidFill>
                          <a:srgbClr val="FFFFFF"/>
                        </a:solidFill>
                        <a:ln w="9525">
                          <a:solidFill>
                            <a:srgbClr val="000000"/>
                          </a:solidFill>
                          <a:miter lim="800000"/>
                          <a:headEnd/>
                          <a:tailEnd/>
                        </a:ln>
                      </wps:spPr>
                      <wps:txbx>
                        <w:txbxContent>
                          <w:p w14:paraId="7A385B94" w14:textId="425E13AB" w:rsidR="003D495C" w:rsidRDefault="003D495C" w:rsidP="003D495C">
                            <w:pPr>
                              <w:spacing w:after="120" w:line="240" w:lineRule="auto"/>
                              <w:rPr>
                                <w:rFonts w:ascii="Times New Roman" w:hAnsi="Times New Roman" w:cs="Times New Roman"/>
                                <w:sz w:val="20"/>
                                <w:szCs w:val="20"/>
                              </w:rPr>
                            </w:pPr>
                            <w:r w:rsidRPr="00D31FFF">
                              <w:rPr>
                                <w:rFonts w:ascii="Times New Roman" w:hAnsi="Times New Roman" w:cs="Times New Roman"/>
                                <w:sz w:val="20"/>
                                <w:szCs w:val="20"/>
                              </w:rPr>
                              <w:t xml:space="preserve">Visit </w:t>
                            </w:r>
                            <w:hyperlink r:id="rId14" w:history="1">
                              <w:r w:rsidRPr="00D31FFF">
                                <w:rPr>
                                  <w:rStyle w:val="Hyperlink"/>
                                  <w:rFonts w:ascii="Times New Roman" w:hAnsi="Times New Roman" w:cs="Times New Roman"/>
                                  <w:sz w:val="20"/>
                                  <w:szCs w:val="20"/>
                                </w:rPr>
                                <w:t>www.nuclearwastewatch.ca</w:t>
                              </w:r>
                            </w:hyperlink>
                            <w:r w:rsidRPr="00D31FFF">
                              <w:rPr>
                                <w:rFonts w:ascii="Times New Roman" w:hAnsi="Times New Roman" w:cs="Times New Roman"/>
                                <w:sz w:val="20"/>
                                <w:szCs w:val="20"/>
                              </w:rPr>
                              <w:t xml:space="preserve"> for additional information about the current review of Canada’s radioactive waste policy, including notices of upcoming events, comment opportunities and information to support public participation. </w:t>
                            </w:r>
                          </w:p>
                          <w:p w14:paraId="2E2550A1" w14:textId="6607931C" w:rsidR="00615620" w:rsidRDefault="00615620" w:rsidP="003D495C">
                            <w:pPr>
                              <w:spacing w:after="120" w:line="240" w:lineRule="auto"/>
                            </w:pPr>
                            <w:r>
                              <w:rPr>
                                <w:rFonts w:ascii="Times New Roman" w:hAnsi="Times New Roman" w:cs="Times New Roman"/>
                                <w:sz w:val="20"/>
                                <w:szCs w:val="20"/>
                              </w:rPr>
                              <w:t xml:space="preserve">To read the NRCan discussion paper click </w:t>
                            </w:r>
                            <w:hyperlink r:id="rId15" w:history="1">
                              <w:r w:rsidRPr="00615620">
                                <w:rPr>
                                  <w:rStyle w:val="Hyperlink"/>
                                  <w:rFonts w:ascii="Times New Roman" w:hAnsi="Times New Roman" w:cs="Times New Roman"/>
                                  <w:sz w:val="20"/>
                                  <w:szCs w:val="20"/>
                                </w:rPr>
                                <w:t>HERE</w:t>
                              </w:r>
                            </w:hyperlink>
                            <w:r>
                              <w:rPr>
                                <w:rFonts w:ascii="Times New Roman" w:hAnsi="Times New Roman" w:cs="Times New Roman"/>
                                <w:sz w:val="20"/>
                                <w:szCs w:val="20"/>
                              </w:rPr>
                              <w:t xml:space="preserve">.  To comment on the NRCan discussion paper click </w:t>
                            </w:r>
                            <w:hyperlink r:id="rId16" w:history="1">
                              <w:r w:rsidRPr="00615620">
                                <w:rPr>
                                  <w:rStyle w:val="Hyperlink"/>
                                  <w:rFonts w:ascii="Times New Roman" w:hAnsi="Times New Roman" w:cs="Times New Roman"/>
                                  <w:sz w:val="20"/>
                                  <w:szCs w:val="20"/>
                                </w:rPr>
                                <w:t>HERE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8E8DB" id="_x0000_t202" coordsize="21600,21600" o:spt="202" path="m,l,21600r21600,l21600,xe">
                <v:stroke joinstyle="miter"/>
                <v:path gradientshapeok="t" o:connecttype="rect"/>
              </v:shapetype>
              <v:shape id="Text Box 2" o:spid="_x0000_s1026" type="#_x0000_t202" style="position:absolute;margin-left:-.05pt;margin-top:8.15pt;width:521.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">
                <v:textbox>
                  <w:txbxContent>
                    <w:p w14:paraId="7A385B94" w14:textId="425E13AB" w:rsidR="003D495C" w:rsidRDefault="003D495C" w:rsidP="003D495C">
                      <w:pPr>
                        <w:spacing w:after="120" w:line="240" w:lineRule="auto"/>
                        <w:rPr>
                          <w:rFonts w:ascii="Times New Roman" w:hAnsi="Times New Roman" w:cs="Times New Roman"/>
                          <w:sz w:val="20"/>
                          <w:szCs w:val="20"/>
                        </w:rPr>
                      </w:pPr>
                      <w:r w:rsidRPr="00D31FFF">
                        <w:rPr>
                          <w:rFonts w:ascii="Times New Roman" w:hAnsi="Times New Roman" w:cs="Times New Roman"/>
                          <w:sz w:val="20"/>
                          <w:szCs w:val="20"/>
                        </w:rPr>
                        <w:t xml:space="preserve">Visit </w:t>
                      </w:r>
                      <w:hyperlink r:id="rId17" w:history="1">
                        <w:r w:rsidRPr="00D31FFF">
                          <w:rPr>
                            <w:rStyle w:val="Hyperlink"/>
                            <w:rFonts w:ascii="Times New Roman" w:hAnsi="Times New Roman" w:cs="Times New Roman"/>
                            <w:sz w:val="20"/>
                            <w:szCs w:val="20"/>
                          </w:rPr>
                          <w:t>www.nuclearwastewatch.ca</w:t>
                        </w:r>
                      </w:hyperlink>
                      <w:r w:rsidRPr="00D31FFF">
                        <w:rPr>
                          <w:rFonts w:ascii="Times New Roman" w:hAnsi="Times New Roman" w:cs="Times New Roman"/>
                          <w:sz w:val="20"/>
                          <w:szCs w:val="20"/>
                        </w:rPr>
                        <w:t xml:space="preserve"> for additional information about the current review of Canada’s radioactive waste policy, including notices of upcoming events, comment opportunities and information to support public participation. </w:t>
                      </w:r>
                    </w:p>
                    <w:p w14:paraId="2E2550A1" w14:textId="6607931C" w:rsidR="00615620" w:rsidRDefault="00615620" w:rsidP="003D495C">
                      <w:pPr>
                        <w:spacing w:after="120" w:line="240" w:lineRule="auto"/>
                      </w:pPr>
                      <w:r>
                        <w:rPr>
                          <w:rFonts w:ascii="Times New Roman" w:hAnsi="Times New Roman" w:cs="Times New Roman"/>
                          <w:sz w:val="20"/>
                          <w:szCs w:val="20"/>
                        </w:rPr>
                        <w:t xml:space="preserve">To read the NRCan discussion paper click </w:t>
                      </w:r>
                      <w:hyperlink r:id="rId18" w:history="1">
                        <w:r w:rsidRPr="00615620">
                          <w:rPr>
                            <w:rStyle w:val="Hyperlink"/>
                            <w:rFonts w:ascii="Times New Roman" w:hAnsi="Times New Roman" w:cs="Times New Roman"/>
                            <w:sz w:val="20"/>
                            <w:szCs w:val="20"/>
                          </w:rPr>
                          <w:t>HERE</w:t>
                        </w:r>
                      </w:hyperlink>
                      <w:r>
                        <w:rPr>
                          <w:rFonts w:ascii="Times New Roman" w:hAnsi="Times New Roman" w:cs="Times New Roman"/>
                          <w:sz w:val="20"/>
                          <w:szCs w:val="20"/>
                        </w:rPr>
                        <w:t xml:space="preserve">.  To comment on the NRCan discussion paper click </w:t>
                      </w:r>
                      <w:hyperlink r:id="rId19" w:history="1">
                        <w:r w:rsidRPr="00615620">
                          <w:rPr>
                            <w:rStyle w:val="Hyperlink"/>
                            <w:rFonts w:ascii="Times New Roman" w:hAnsi="Times New Roman" w:cs="Times New Roman"/>
                            <w:sz w:val="20"/>
                            <w:szCs w:val="20"/>
                          </w:rPr>
                          <w:t>HERE</w:t>
                        </w:r>
                      </w:hyperlink>
                    </w:p>
                  </w:txbxContent>
                </v:textbox>
              </v:shape>
            </w:pict>
          </mc:Fallback>
        </mc:AlternateContent>
      </w:r>
    </w:p>
    <w:p w14:paraId="26370C2C" w14:textId="5F5290D0" w:rsidR="00EE3C4A" w:rsidRPr="00D31FFF" w:rsidRDefault="00EE3C4A" w:rsidP="00D31FFF">
      <w:pPr>
        <w:rPr>
          <w:rFonts w:ascii="Times New Roman" w:hAnsi="Times New Roman" w:cs="Times New Roman"/>
        </w:rPr>
      </w:pPr>
      <w:r w:rsidRPr="00EE3C4A">
        <w:rPr>
          <w:rFonts w:ascii="Times New Roman" w:hAnsi="Times New Roman" w:cs="Times New Roman"/>
          <w:noProof/>
          <w:sz w:val="20"/>
          <w:szCs w:val="20"/>
        </w:rPr>
        <mc:AlternateContent>
          <mc:Choice Requires="wps">
            <w:drawing>
              <wp:anchor distT="45720" distB="45720" distL="114300" distR="114300" simplePos="0" relativeHeight="251661312" behindDoc="1" locked="0" layoutInCell="1" allowOverlap="1" wp14:anchorId="553247EC" wp14:editId="499EFD30">
                <wp:simplePos x="0" y="0"/>
                <wp:positionH relativeFrom="column">
                  <wp:posOffset>4076065</wp:posOffset>
                </wp:positionH>
                <wp:positionV relativeFrom="paragraph">
                  <wp:posOffset>473075</wp:posOffset>
                </wp:positionV>
                <wp:extent cx="2838450" cy="38036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80365"/>
                        </a:xfrm>
                        <a:prstGeom prst="rect">
                          <a:avLst/>
                        </a:prstGeom>
                        <a:solidFill>
                          <a:srgbClr val="FFFFFF"/>
                        </a:solidFill>
                        <a:ln w="9525">
                          <a:noFill/>
                          <a:miter lim="800000"/>
                          <a:headEnd/>
                          <a:tailEnd/>
                        </a:ln>
                      </wps:spPr>
                      <wps:txbx>
                        <w:txbxContent>
                          <w:p w14:paraId="2ECF1A8C" w14:textId="5F8C70D2" w:rsidR="00165338" w:rsidRPr="00165338" w:rsidRDefault="00165338">
                            <w:pPr>
                              <w:rPr>
                                <w:color w:val="808080" w:themeColor="background1" w:themeShade="80"/>
                                <w:sz w:val="20"/>
                                <w:szCs w:val="20"/>
                                <w:lang w:val="en-CA"/>
                              </w:rPr>
                            </w:pPr>
                            <w:r w:rsidRPr="00165338">
                              <w:rPr>
                                <w:color w:val="808080" w:themeColor="background1" w:themeShade="80"/>
                                <w:sz w:val="20"/>
                                <w:szCs w:val="20"/>
                                <w:lang w:val="en-CA"/>
                              </w:rPr>
                              <w:t xml:space="preserve">DRAFT PREPARED BY NORTHWATCH </w:t>
                            </w:r>
                            <w:r w:rsidR="00845308">
                              <w:rPr>
                                <w:color w:val="808080" w:themeColor="background1" w:themeShade="80"/>
                                <w:sz w:val="20"/>
                                <w:szCs w:val="20"/>
                                <w:lang w:val="en-CA"/>
                              </w:rPr>
                              <w:t>04 2021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247EC" id="_x0000_s1027" type="#_x0000_t202" style="position:absolute;margin-left:320.95pt;margin-top:37.25pt;width:223.5pt;height:29.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" stroked="f">
                <v:textbox>
                  <w:txbxContent>
                    <w:p w14:paraId="2ECF1A8C" w14:textId="5F8C70D2" w:rsidR="00165338" w:rsidRPr="00165338" w:rsidRDefault="00165338">
                      <w:pPr>
                        <w:rPr>
                          <w:color w:val="808080" w:themeColor="background1" w:themeShade="80"/>
                          <w:sz w:val="20"/>
                          <w:szCs w:val="20"/>
                          <w:lang w:val="en-CA"/>
                        </w:rPr>
                      </w:pPr>
                      <w:r w:rsidRPr="00165338">
                        <w:rPr>
                          <w:color w:val="808080" w:themeColor="background1" w:themeShade="80"/>
                          <w:sz w:val="20"/>
                          <w:szCs w:val="20"/>
                          <w:lang w:val="en-CA"/>
                        </w:rPr>
                        <w:t xml:space="preserve">DRAFT PREPARED BY NORTHWATCH </w:t>
                      </w:r>
                      <w:r w:rsidR="00845308">
                        <w:rPr>
                          <w:color w:val="808080" w:themeColor="background1" w:themeShade="80"/>
                          <w:sz w:val="20"/>
                          <w:szCs w:val="20"/>
                          <w:lang w:val="en-CA"/>
                        </w:rPr>
                        <w:t>04 2021</w:t>
                      </w:r>
                    </w:p>
                  </w:txbxContent>
                </v:textbox>
              </v:shape>
            </w:pict>
          </mc:Fallback>
        </mc:AlternateContent>
      </w:r>
    </w:p>
    <w:sectPr w:rsidR="00EE3C4A" w:rsidRPr="00D31FFF" w:rsidSect="00951D9D">
      <w:headerReference w:type="even" r:id="rId20"/>
      <w:headerReference w:type="default" r:id="rId21"/>
      <w:footerReference w:type="even" r:id="rId22"/>
      <w:footerReference w:type="default" r:id="rId23"/>
      <w:headerReference w:type="first" r:id="rId24"/>
      <w:footerReference w:type="first" r:id="rId25"/>
      <w:pgSz w:w="12240" w:h="15840"/>
      <w:pgMar w:top="1021" w:right="1134" w:bottom="568"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F574" w14:textId="77777777" w:rsidR="00F21F31" w:rsidRDefault="00F21F31" w:rsidP="00165338">
      <w:pPr>
        <w:spacing w:after="0" w:line="240" w:lineRule="auto"/>
      </w:pPr>
      <w:r>
        <w:separator/>
      </w:r>
    </w:p>
  </w:endnote>
  <w:endnote w:type="continuationSeparator" w:id="0">
    <w:p w14:paraId="0666F050" w14:textId="77777777" w:rsidR="00F21F31" w:rsidRDefault="00F21F31" w:rsidP="0016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01B2" w14:textId="77777777" w:rsidR="00165338" w:rsidRDefault="00165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E2DC" w14:textId="77777777" w:rsidR="00165338" w:rsidRDefault="00165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3993" w14:textId="77777777" w:rsidR="00165338" w:rsidRDefault="00165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A5073" w14:textId="77777777" w:rsidR="00F21F31" w:rsidRDefault="00F21F31" w:rsidP="00165338">
      <w:pPr>
        <w:spacing w:after="0" w:line="240" w:lineRule="auto"/>
      </w:pPr>
      <w:r>
        <w:separator/>
      </w:r>
    </w:p>
  </w:footnote>
  <w:footnote w:type="continuationSeparator" w:id="0">
    <w:p w14:paraId="2189517F" w14:textId="77777777" w:rsidR="00F21F31" w:rsidRDefault="00F21F31" w:rsidP="00165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2BA7" w14:textId="5597F3FA" w:rsidR="00165338" w:rsidRDefault="00F21F31">
    <w:pPr>
      <w:pStyle w:val="Header"/>
    </w:pPr>
    <w:r>
      <w:rPr>
        <w:noProof/>
      </w:rPr>
      <w:pict w14:anchorId="62E065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15907" o:spid="_x0000_s2050" type="#_x0000_t136" style="position:absolute;margin-left:0;margin-top:0;width:439.35pt;height:263.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464A" w14:textId="63F84C0B" w:rsidR="00165338" w:rsidRDefault="00F21F31">
    <w:pPr>
      <w:pStyle w:val="Header"/>
    </w:pPr>
    <w:r>
      <w:rPr>
        <w:noProof/>
      </w:rPr>
      <w:pict w14:anchorId="24A188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15908" o:spid="_x0000_s2051" type="#_x0000_t136" style="position:absolute;margin-left:0;margin-top:0;width:439.35pt;height:263.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8870" w14:textId="545228AF" w:rsidR="00165338" w:rsidRDefault="00F21F31">
    <w:pPr>
      <w:pStyle w:val="Header"/>
    </w:pPr>
    <w:r>
      <w:rPr>
        <w:noProof/>
      </w:rPr>
      <w:pict w14:anchorId="46CA27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15906" o:spid="_x0000_s2049" type="#_x0000_t136" style="position:absolute;margin-left:0;margin-top:0;width:439.35pt;height:263.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55B"/>
    <w:multiLevelType w:val="hybridMultilevel"/>
    <w:tmpl w:val="44807462"/>
    <w:lvl w:ilvl="0" w:tplc="4470FD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05D15"/>
    <w:multiLevelType w:val="multilevel"/>
    <w:tmpl w:val="9688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56519"/>
    <w:multiLevelType w:val="hybridMultilevel"/>
    <w:tmpl w:val="71A4452A"/>
    <w:lvl w:ilvl="0" w:tplc="E502FA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668F8"/>
    <w:multiLevelType w:val="hybridMultilevel"/>
    <w:tmpl w:val="9D96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467CB"/>
    <w:multiLevelType w:val="hybridMultilevel"/>
    <w:tmpl w:val="8A1E1A84"/>
    <w:lvl w:ilvl="0" w:tplc="A55E9070">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534972"/>
    <w:multiLevelType w:val="hybridMultilevel"/>
    <w:tmpl w:val="20FC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D6644"/>
    <w:multiLevelType w:val="hybridMultilevel"/>
    <w:tmpl w:val="F65E3EE2"/>
    <w:lvl w:ilvl="0" w:tplc="4470FDA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D02FF8"/>
    <w:multiLevelType w:val="hybridMultilevel"/>
    <w:tmpl w:val="02B084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B4109"/>
    <w:multiLevelType w:val="hybridMultilevel"/>
    <w:tmpl w:val="5B22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773C5"/>
    <w:multiLevelType w:val="hybridMultilevel"/>
    <w:tmpl w:val="1AE65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7D344C"/>
    <w:multiLevelType w:val="hybridMultilevel"/>
    <w:tmpl w:val="1F42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F6311"/>
    <w:multiLevelType w:val="hybridMultilevel"/>
    <w:tmpl w:val="16727C20"/>
    <w:lvl w:ilvl="0" w:tplc="00BED30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11"/>
  </w:num>
  <w:num w:numId="5">
    <w:abstractNumId w:val="1"/>
  </w:num>
  <w:num w:numId="6">
    <w:abstractNumId w:val="4"/>
  </w:num>
  <w:num w:numId="7">
    <w:abstractNumId w:val="5"/>
  </w:num>
  <w:num w:numId="8">
    <w:abstractNumId w:val="7"/>
  </w:num>
  <w:num w:numId="9">
    <w:abstractNumId w:val="2"/>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2C"/>
    <w:rsid w:val="00007A73"/>
    <w:rsid w:val="00010584"/>
    <w:rsid w:val="00013412"/>
    <w:rsid w:val="00024675"/>
    <w:rsid w:val="00032F2D"/>
    <w:rsid w:val="000441D2"/>
    <w:rsid w:val="00055BD2"/>
    <w:rsid w:val="00073A77"/>
    <w:rsid w:val="000B767F"/>
    <w:rsid w:val="000F12A7"/>
    <w:rsid w:val="00107B02"/>
    <w:rsid w:val="001623BB"/>
    <w:rsid w:val="00165338"/>
    <w:rsid w:val="001C4198"/>
    <w:rsid w:val="002A0F2D"/>
    <w:rsid w:val="002B5486"/>
    <w:rsid w:val="002F6C33"/>
    <w:rsid w:val="003B0F8D"/>
    <w:rsid w:val="003D495C"/>
    <w:rsid w:val="003D5499"/>
    <w:rsid w:val="003E1B71"/>
    <w:rsid w:val="004365D4"/>
    <w:rsid w:val="004A0C89"/>
    <w:rsid w:val="004A213E"/>
    <w:rsid w:val="004C2C45"/>
    <w:rsid w:val="004F7058"/>
    <w:rsid w:val="00512376"/>
    <w:rsid w:val="00515929"/>
    <w:rsid w:val="00544588"/>
    <w:rsid w:val="00567FC1"/>
    <w:rsid w:val="0058442B"/>
    <w:rsid w:val="00592F69"/>
    <w:rsid w:val="00615620"/>
    <w:rsid w:val="00623010"/>
    <w:rsid w:val="006A5827"/>
    <w:rsid w:val="006B5609"/>
    <w:rsid w:val="0075725E"/>
    <w:rsid w:val="00845308"/>
    <w:rsid w:val="00864962"/>
    <w:rsid w:val="00872B2C"/>
    <w:rsid w:val="00873EF2"/>
    <w:rsid w:val="008A0258"/>
    <w:rsid w:val="00951D9D"/>
    <w:rsid w:val="0095285F"/>
    <w:rsid w:val="00990E68"/>
    <w:rsid w:val="00A345F6"/>
    <w:rsid w:val="00A5478C"/>
    <w:rsid w:val="00A87AC3"/>
    <w:rsid w:val="00A945F7"/>
    <w:rsid w:val="00A95C50"/>
    <w:rsid w:val="00AB3D1D"/>
    <w:rsid w:val="00AB3DEC"/>
    <w:rsid w:val="00B02033"/>
    <w:rsid w:val="00B04742"/>
    <w:rsid w:val="00B4387B"/>
    <w:rsid w:val="00BE32AF"/>
    <w:rsid w:val="00CD204C"/>
    <w:rsid w:val="00CF416C"/>
    <w:rsid w:val="00D17680"/>
    <w:rsid w:val="00D31FFF"/>
    <w:rsid w:val="00D92EEE"/>
    <w:rsid w:val="00DB30B6"/>
    <w:rsid w:val="00DB7D56"/>
    <w:rsid w:val="00E51D0F"/>
    <w:rsid w:val="00E9732F"/>
    <w:rsid w:val="00EA70A7"/>
    <w:rsid w:val="00ED3E61"/>
    <w:rsid w:val="00ED4F8D"/>
    <w:rsid w:val="00EE3C4A"/>
    <w:rsid w:val="00F21F31"/>
    <w:rsid w:val="00F67B95"/>
    <w:rsid w:val="00F85640"/>
    <w:rsid w:val="00FC77B0"/>
    <w:rsid w:val="00FD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AEA117"/>
  <w15:chartTrackingRefBased/>
  <w15:docId w15:val="{429C4B33-428D-48CF-BCAB-877596B5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1D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258"/>
    <w:rPr>
      <w:color w:val="0563C1" w:themeColor="hyperlink"/>
      <w:u w:val="single"/>
    </w:rPr>
  </w:style>
  <w:style w:type="character" w:styleId="UnresolvedMention">
    <w:name w:val="Unresolved Mention"/>
    <w:basedOn w:val="DefaultParagraphFont"/>
    <w:uiPriority w:val="99"/>
    <w:semiHidden/>
    <w:unhideWhenUsed/>
    <w:rsid w:val="008A0258"/>
    <w:rPr>
      <w:color w:val="605E5C"/>
      <w:shd w:val="clear" w:color="auto" w:fill="E1DFDD"/>
    </w:rPr>
  </w:style>
  <w:style w:type="paragraph" w:styleId="ListParagraph">
    <w:name w:val="List Paragraph"/>
    <w:basedOn w:val="Normal"/>
    <w:uiPriority w:val="34"/>
    <w:qFormat/>
    <w:rsid w:val="0095285F"/>
    <w:pPr>
      <w:ind w:left="720"/>
      <w:contextualSpacing/>
    </w:pPr>
  </w:style>
  <w:style w:type="table" w:styleId="TableGrid">
    <w:name w:val="Table Grid"/>
    <w:basedOn w:val="TableNormal"/>
    <w:uiPriority w:val="39"/>
    <w:rsid w:val="003D5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338"/>
  </w:style>
  <w:style w:type="paragraph" w:styleId="Footer">
    <w:name w:val="footer"/>
    <w:basedOn w:val="Normal"/>
    <w:link w:val="FooterChar"/>
    <w:uiPriority w:val="99"/>
    <w:unhideWhenUsed/>
    <w:rsid w:val="00165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338"/>
  </w:style>
  <w:style w:type="character" w:customStyle="1" w:styleId="Heading4Char">
    <w:name w:val="Heading 4 Char"/>
    <w:basedOn w:val="DefaultParagraphFont"/>
    <w:link w:val="Heading4"/>
    <w:uiPriority w:val="9"/>
    <w:rsid w:val="00E51D0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51D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D0F"/>
    <w:rPr>
      <w:b/>
      <w:bCs/>
    </w:rPr>
  </w:style>
  <w:style w:type="character" w:styleId="Emphasis">
    <w:name w:val="Emphasis"/>
    <w:basedOn w:val="DefaultParagraphFont"/>
    <w:uiPriority w:val="20"/>
    <w:qFormat/>
    <w:rsid w:val="00E51D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8429">
      <w:bodyDiv w:val="1"/>
      <w:marLeft w:val="0"/>
      <w:marRight w:val="0"/>
      <w:marTop w:val="0"/>
      <w:marBottom w:val="0"/>
      <w:divBdr>
        <w:top w:val="none" w:sz="0" w:space="0" w:color="auto"/>
        <w:left w:val="none" w:sz="0" w:space="0" w:color="auto"/>
        <w:bottom w:val="none" w:sz="0" w:space="0" w:color="auto"/>
        <w:right w:val="none" w:sz="0" w:space="0" w:color="auto"/>
      </w:divBdr>
    </w:div>
    <w:div w:id="272827381">
      <w:bodyDiv w:val="1"/>
      <w:marLeft w:val="0"/>
      <w:marRight w:val="0"/>
      <w:marTop w:val="0"/>
      <w:marBottom w:val="0"/>
      <w:divBdr>
        <w:top w:val="none" w:sz="0" w:space="0" w:color="auto"/>
        <w:left w:val="none" w:sz="0" w:space="0" w:color="auto"/>
        <w:bottom w:val="none" w:sz="0" w:space="0" w:color="auto"/>
        <w:right w:val="none" w:sz="0" w:space="0" w:color="auto"/>
      </w:divBdr>
      <w:divsChild>
        <w:div w:id="2082215414">
          <w:marLeft w:val="0"/>
          <w:marRight w:val="0"/>
          <w:marTop w:val="0"/>
          <w:marBottom w:val="450"/>
          <w:divBdr>
            <w:top w:val="none" w:sz="0" w:space="0" w:color="auto"/>
            <w:left w:val="none" w:sz="0" w:space="0" w:color="auto"/>
            <w:bottom w:val="none" w:sz="0" w:space="0" w:color="auto"/>
            <w:right w:val="none" w:sz="0" w:space="0" w:color="auto"/>
          </w:divBdr>
          <w:divsChild>
            <w:div w:id="1799758810">
              <w:marLeft w:val="0"/>
              <w:marRight w:val="0"/>
              <w:marTop w:val="0"/>
              <w:marBottom w:val="0"/>
              <w:divBdr>
                <w:top w:val="none" w:sz="0" w:space="0" w:color="auto"/>
                <w:left w:val="none" w:sz="0" w:space="0" w:color="auto"/>
                <w:bottom w:val="none" w:sz="0" w:space="0" w:color="auto"/>
                <w:right w:val="none" w:sz="0" w:space="0" w:color="auto"/>
              </w:divBdr>
              <w:divsChild>
                <w:div w:id="1762487887">
                  <w:marLeft w:val="0"/>
                  <w:marRight w:val="0"/>
                  <w:marTop w:val="0"/>
                  <w:marBottom w:val="0"/>
                  <w:divBdr>
                    <w:top w:val="none" w:sz="0" w:space="0" w:color="auto"/>
                    <w:left w:val="none" w:sz="0" w:space="0" w:color="auto"/>
                    <w:bottom w:val="none" w:sz="0" w:space="0" w:color="auto"/>
                    <w:right w:val="none" w:sz="0" w:space="0" w:color="auto"/>
                  </w:divBdr>
                  <w:divsChild>
                    <w:div w:id="1507790711">
                      <w:marLeft w:val="0"/>
                      <w:marRight w:val="0"/>
                      <w:marTop w:val="0"/>
                      <w:marBottom w:val="0"/>
                      <w:divBdr>
                        <w:top w:val="none" w:sz="0" w:space="0" w:color="auto"/>
                        <w:left w:val="none" w:sz="0" w:space="0" w:color="auto"/>
                        <w:bottom w:val="none" w:sz="0" w:space="0" w:color="auto"/>
                        <w:right w:val="none" w:sz="0" w:space="0" w:color="auto"/>
                      </w:divBdr>
                    </w:div>
                    <w:div w:id="2097820658">
                      <w:marLeft w:val="0"/>
                      <w:marRight w:val="0"/>
                      <w:marTop w:val="0"/>
                      <w:marBottom w:val="0"/>
                      <w:divBdr>
                        <w:top w:val="none" w:sz="0" w:space="0" w:color="auto"/>
                        <w:left w:val="none" w:sz="0" w:space="0" w:color="auto"/>
                        <w:bottom w:val="none" w:sz="0" w:space="0" w:color="auto"/>
                        <w:right w:val="none" w:sz="0" w:space="0" w:color="auto"/>
                      </w:divBdr>
                      <w:divsChild>
                        <w:div w:id="1659771769">
                          <w:marLeft w:val="0"/>
                          <w:marRight w:val="0"/>
                          <w:marTop w:val="0"/>
                          <w:marBottom w:val="0"/>
                          <w:divBdr>
                            <w:top w:val="none" w:sz="0" w:space="0" w:color="auto"/>
                            <w:left w:val="none" w:sz="0" w:space="0" w:color="auto"/>
                            <w:bottom w:val="none" w:sz="0" w:space="0" w:color="auto"/>
                            <w:right w:val="none" w:sz="0" w:space="0" w:color="auto"/>
                          </w:divBdr>
                          <w:divsChild>
                            <w:div w:id="123492733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84988311">
                  <w:marLeft w:val="0"/>
                  <w:marRight w:val="0"/>
                  <w:marTop w:val="0"/>
                  <w:marBottom w:val="0"/>
                  <w:divBdr>
                    <w:top w:val="none" w:sz="0" w:space="0" w:color="auto"/>
                    <w:left w:val="none" w:sz="0" w:space="0" w:color="auto"/>
                    <w:bottom w:val="none" w:sz="0" w:space="0" w:color="auto"/>
                    <w:right w:val="none" w:sz="0" w:space="0" w:color="auto"/>
                  </w:divBdr>
                  <w:divsChild>
                    <w:div w:id="1052920247">
                      <w:marLeft w:val="0"/>
                      <w:marRight w:val="0"/>
                      <w:marTop w:val="0"/>
                      <w:marBottom w:val="0"/>
                      <w:divBdr>
                        <w:top w:val="none" w:sz="0" w:space="0" w:color="auto"/>
                        <w:left w:val="none" w:sz="0" w:space="0" w:color="auto"/>
                        <w:bottom w:val="none" w:sz="0" w:space="0" w:color="auto"/>
                        <w:right w:val="none" w:sz="0" w:space="0" w:color="auto"/>
                      </w:divBdr>
                      <w:divsChild>
                        <w:div w:id="101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15434">
      <w:bodyDiv w:val="1"/>
      <w:marLeft w:val="0"/>
      <w:marRight w:val="0"/>
      <w:marTop w:val="0"/>
      <w:marBottom w:val="0"/>
      <w:divBdr>
        <w:top w:val="none" w:sz="0" w:space="0" w:color="auto"/>
        <w:left w:val="none" w:sz="0" w:space="0" w:color="auto"/>
        <w:bottom w:val="none" w:sz="0" w:space="0" w:color="auto"/>
        <w:right w:val="none" w:sz="0" w:space="0" w:color="auto"/>
      </w:divBdr>
    </w:div>
    <w:div w:id="1375305355">
      <w:bodyDiv w:val="1"/>
      <w:marLeft w:val="0"/>
      <w:marRight w:val="0"/>
      <w:marTop w:val="0"/>
      <w:marBottom w:val="0"/>
      <w:divBdr>
        <w:top w:val="none" w:sz="0" w:space="0" w:color="auto"/>
        <w:left w:val="none" w:sz="0" w:space="0" w:color="auto"/>
        <w:bottom w:val="none" w:sz="0" w:space="0" w:color="auto"/>
        <w:right w:val="none" w:sz="0" w:space="0" w:color="auto"/>
      </w:divBdr>
      <w:divsChild>
        <w:div w:id="1183857980">
          <w:marLeft w:val="0"/>
          <w:marRight w:val="0"/>
          <w:marTop w:val="30"/>
          <w:marBottom w:val="45"/>
          <w:divBdr>
            <w:top w:val="none" w:sz="0" w:space="0" w:color="auto"/>
            <w:left w:val="none" w:sz="0" w:space="0" w:color="auto"/>
            <w:bottom w:val="none" w:sz="0" w:space="0" w:color="auto"/>
            <w:right w:val="none" w:sz="0" w:space="0" w:color="auto"/>
          </w:divBdr>
        </w:div>
      </w:divsChild>
    </w:div>
    <w:div w:id="146769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clearsafety.gc.ca/eng/resources/international-cooperation/irrs/canada-response-irrs-2019.cfm" TargetMode="External"/><Relationship Id="rId13" Type="http://schemas.openxmlformats.org/officeDocument/2006/relationships/hyperlink" Target="https://www-pub.iaea.org/MTCD/Publications/PDF/Pub1652web-83896570.pdf" TargetMode="External"/><Relationship Id="rId18" Type="http://schemas.openxmlformats.org/officeDocument/2006/relationships/hyperlink" Target="https://www.rncanengagenrcan.ca/sites/default/files/pictures/home/discussion-paper-waste-minimization-11-15-2020-eng-accessible.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nuclearwastewatch.ca" TargetMode="External"/><Relationship Id="rId12" Type="http://schemas.openxmlformats.org/officeDocument/2006/relationships/hyperlink" Target="http://nuclearhotseat.com/2021/05/05/indian-point-shutdown/" TargetMode="External"/><Relationship Id="rId17" Type="http://schemas.openxmlformats.org/officeDocument/2006/relationships/hyperlink" Target="http://www.nuclearwastewatch.ca"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rncanengagenrcan.ca/en/content/forum-reduction-des-dechet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sagepub.com/doi/full/10.1177/0096340214539111"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rncanengagenrcan.ca/sites/default/files/pictures/home/discussion-paper-waste-minimization-11-15-2020-eng-accessible.pdf" TargetMode="External"/><Relationship Id="rId23" Type="http://schemas.openxmlformats.org/officeDocument/2006/relationships/footer" Target="footer2.xml"/><Relationship Id="rId10" Type="http://schemas.openxmlformats.org/officeDocument/2006/relationships/hyperlink" Target="http://weebly-file/1/4/9/1/14913256/radioactive_waste_classification-brief_feb2021.pdf" TargetMode="External"/><Relationship Id="rId19" Type="http://schemas.openxmlformats.org/officeDocument/2006/relationships/hyperlink" Target="https://www.rncanengagenrcan.ca/en/content/forum-reduction-des-dechets" TargetMode="External"/><Relationship Id="rId4" Type="http://schemas.openxmlformats.org/officeDocument/2006/relationships/webSettings" Target="webSettings.xml"/><Relationship Id="rId9" Type="http://schemas.openxmlformats.org/officeDocument/2006/relationships/hyperlink" Target="https://nuclearwastewatch.weebly.com/uploads/1/4/9/1/14913256/principles_draft-nww.pdf" TargetMode="External"/><Relationship Id="rId14" Type="http://schemas.openxmlformats.org/officeDocument/2006/relationships/hyperlink" Target="http://www.nuclearwastewatch.c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Brennain Lloyd</dc:creator>
  <cp:keywords/>
  <dc:description/>
  <cp:lastModifiedBy>Brennain Lloyd</cp:lastModifiedBy>
  <cp:revision>2</cp:revision>
  <cp:lastPrinted>2021-02-27T17:00:00Z</cp:lastPrinted>
  <dcterms:created xsi:type="dcterms:W3CDTF">2021-05-12T20:01:00Z</dcterms:created>
  <dcterms:modified xsi:type="dcterms:W3CDTF">2021-05-12T20:01:00Z</dcterms:modified>
</cp:coreProperties>
</file>